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783"/>
        <w:gridCol w:w="10773"/>
      </w:tblGrid>
      <w:tr w:rsidR="001E0ADF" w14:paraId="5E47A203" w14:textId="77777777" w:rsidTr="00906E2B">
        <w:tc>
          <w:tcPr>
            <w:tcW w:w="3783"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773" w:type="dxa"/>
          </w:tcPr>
          <w:p w14:paraId="50F4E6D0" w14:textId="277BF2FB" w:rsidR="001E0ADF" w:rsidRDefault="00D74B2A" w:rsidP="009D2978">
            <w:pPr>
              <w:pStyle w:val="BodyText"/>
              <w:spacing w:before="0"/>
              <w:ind w:left="0"/>
            </w:pPr>
            <w:r>
              <w:t>Land Charges</w:t>
            </w:r>
          </w:p>
        </w:tc>
      </w:tr>
      <w:tr w:rsidR="001E0ADF" w14:paraId="6DC1AC26" w14:textId="77777777" w:rsidTr="00906E2B">
        <w:tc>
          <w:tcPr>
            <w:tcW w:w="3783"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773" w:type="dxa"/>
          </w:tcPr>
          <w:p w14:paraId="3055FC6D" w14:textId="419E3A53" w:rsidR="001E0ADF" w:rsidRDefault="00906E2B" w:rsidP="009D2978">
            <w:pPr>
              <w:pStyle w:val="BodyText"/>
              <w:spacing w:before="0"/>
              <w:ind w:left="0"/>
            </w:pPr>
            <w:r>
              <w:t xml:space="preserve">Reviewed following migration and transition period of LLC1 searches to HM Land Registry </w:t>
            </w:r>
          </w:p>
        </w:tc>
      </w:tr>
      <w:tr w:rsidR="001E0ADF" w14:paraId="71EB3B29" w14:textId="77777777" w:rsidTr="00906E2B">
        <w:tc>
          <w:tcPr>
            <w:tcW w:w="3783"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List main outcome focus and supporting activities of the Policy, Project, Service Reform or Budget Option</w:t>
            </w:r>
          </w:p>
        </w:tc>
        <w:tc>
          <w:tcPr>
            <w:tcW w:w="10773" w:type="dxa"/>
          </w:tcPr>
          <w:p w14:paraId="64887A0D" w14:textId="77777777" w:rsidR="00D74B2A" w:rsidRPr="00B774CC" w:rsidRDefault="00D74B2A" w:rsidP="00D74B2A">
            <w:pPr>
              <w:rPr>
                <w:sz w:val="22"/>
              </w:rPr>
            </w:pPr>
            <w:r w:rsidRPr="00B774CC">
              <w:rPr>
                <w:sz w:val="22"/>
              </w:rPr>
              <w:t>The aims of the service are to provide an accessible user friendly and responsive Local Land Charges system to meet the needs of all members of the community regardless of race, gender, age, disability, religious belief, sexuality or geographical location.</w:t>
            </w:r>
          </w:p>
          <w:p w14:paraId="32C60644" w14:textId="14D4F6F3" w:rsidR="001E0ADF" w:rsidRDefault="001E0ADF" w:rsidP="009D2978">
            <w:pPr>
              <w:pStyle w:val="BodyText"/>
              <w:spacing w:before="0"/>
              <w:ind w:left="0"/>
            </w:pPr>
          </w:p>
        </w:tc>
      </w:tr>
      <w:tr w:rsidR="001E0ADF" w14:paraId="65F4C548" w14:textId="77777777" w:rsidTr="00906E2B">
        <w:tc>
          <w:tcPr>
            <w:tcW w:w="3783"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773" w:type="dxa"/>
          </w:tcPr>
          <w:p w14:paraId="1DECF4AB" w14:textId="77777777" w:rsidR="001E0ADF" w:rsidRDefault="00D74B2A" w:rsidP="009D2978">
            <w:pPr>
              <w:pStyle w:val="BodyText"/>
              <w:spacing w:before="0"/>
              <w:ind w:left="0"/>
            </w:pPr>
            <w:r>
              <w:t xml:space="preserve">Jane Bailey </w:t>
            </w:r>
          </w:p>
          <w:p w14:paraId="6A980B42" w14:textId="123B07C3" w:rsidR="00D74B2A" w:rsidRDefault="00906E2B" w:rsidP="009D2978">
            <w:pPr>
              <w:pStyle w:val="BodyText"/>
              <w:spacing w:before="0"/>
              <w:ind w:left="0"/>
            </w:pPr>
            <w:r>
              <w:t>December 2024</w:t>
            </w:r>
          </w:p>
        </w:tc>
      </w:tr>
      <w:tr w:rsidR="001E0ADF" w14:paraId="3408785E" w14:textId="77777777" w:rsidTr="00906E2B">
        <w:tc>
          <w:tcPr>
            <w:tcW w:w="3783"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773" w:type="dxa"/>
          </w:tcPr>
          <w:p w14:paraId="78887F94" w14:textId="77777777" w:rsidR="001E0ADF" w:rsidRDefault="00906E2B" w:rsidP="009D2978">
            <w:pPr>
              <w:pStyle w:val="BodyText"/>
              <w:spacing w:before="0"/>
              <w:ind w:left="0"/>
            </w:pPr>
            <w:r>
              <w:t xml:space="preserve">Anna Goodall </w:t>
            </w:r>
          </w:p>
          <w:p w14:paraId="3075D8BC" w14:textId="4D3E084D" w:rsidR="00906E2B" w:rsidRDefault="00906E2B" w:rsidP="009D2978">
            <w:pPr>
              <w:pStyle w:val="BodyText"/>
              <w:spacing w:before="0"/>
              <w:ind w:left="0"/>
            </w:pPr>
            <w:r>
              <w:t>December 2024</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422A0E3E" w14:textId="77777777" w:rsidR="00D74B2A" w:rsidRDefault="00D74B2A" w:rsidP="00695B8E">
            <w:pPr>
              <w:rPr>
                <w:rFonts w:eastAsia="Times New Roman" w:cs="Times New Roman"/>
                <w:i/>
                <w:kern w:val="0"/>
                <w:sz w:val="22"/>
                <w:lang w:val="en-US"/>
                <w14:ligatures w14:val="none"/>
              </w:rPr>
            </w:pPr>
          </w:p>
          <w:p w14:paraId="1CEE5CC3" w14:textId="7CAD2498" w:rsidR="00D74B2A" w:rsidRPr="00B774CC" w:rsidRDefault="00D74B2A" w:rsidP="00D74B2A">
            <w:pPr>
              <w:rPr>
                <w:sz w:val="22"/>
              </w:rPr>
            </w:pPr>
            <w:r w:rsidRPr="00B774CC">
              <w:rPr>
                <w:sz w:val="22"/>
              </w:rPr>
              <w:t>The main duties for the team are to provide a statutory service for local land charge searches</w:t>
            </w:r>
            <w:r w:rsidR="009F3688">
              <w:rPr>
                <w:sz w:val="22"/>
              </w:rPr>
              <w:t xml:space="preserve"> alongside HM Land Registry (HMLR)</w:t>
            </w:r>
            <w:r w:rsidRPr="00B774CC">
              <w:rPr>
                <w:sz w:val="22"/>
              </w:rPr>
              <w:t xml:space="preserve">. Ensuring that accurate records relating to properties/parcels of land are updated and maintained. </w:t>
            </w:r>
          </w:p>
          <w:p w14:paraId="7F696640" w14:textId="77777777" w:rsidR="00D74B2A" w:rsidRPr="00B774CC" w:rsidRDefault="00D74B2A" w:rsidP="00D74B2A">
            <w:pPr>
              <w:rPr>
                <w:sz w:val="22"/>
              </w:rPr>
            </w:pPr>
          </w:p>
          <w:p w14:paraId="0984950C" w14:textId="759A3748" w:rsidR="00D74B2A" w:rsidRPr="00B774CC" w:rsidRDefault="00D74B2A" w:rsidP="00D74B2A">
            <w:pPr>
              <w:rPr>
                <w:sz w:val="22"/>
              </w:rPr>
            </w:pPr>
            <w:r w:rsidRPr="00B774CC">
              <w:rPr>
                <w:sz w:val="22"/>
              </w:rPr>
              <w:t>All searches received from members of the public</w:t>
            </w:r>
            <w:r w:rsidR="009F3688">
              <w:rPr>
                <w:sz w:val="22"/>
              </w:rPr>
              <w:t xml:space="preserve">, </w:t>
            </w:r>
            <w:r w:rsidRPr="00B774CC">
              <w:rPr>
                <w:sz w:val="22"/>
              </w:rPr>
              <w:t>Solicitors</w:t>
            </w:r>
            <w:r w:rsidR="009F3688">
              <w:rPr>
                <w:sz w:val="22"/>
              </w:rPr>
              <w:t xml:space="preserve"> and </w:t>
            </w:r>
            <w:r w:rsidRPr="00B774CC">
              <w:rPr>
                <w:sz w:val="22"/>
              </w:rPr>
              <w:t xml:space="preserve">conveyancers are responded to in a timely manner and all replies to searches are accurate. </w:t>
            </w:r>
          </w:p>
          <w:p w14:paraId="3E56A123" w14:textId="77777777" w:rsidR="00D74B2A" w:rsidRPr="00B774CC" w:rsidRDefault="00D74B2A" w:rsidP="00D74B2A">
            <w:pPr>
              <w:rPr>
                <w:sz w:val="22"/>
              </w:rPr>
            </w:pPr>
          </w:p>
          <w:p w14:paraId="4EA87A30" w14:textId="77777777" w:rsidR="009F3688" w:rsidRDefault="00D74B2A" w:rsidP="00D74B2A">
            <w:pPr>
              <w:rPr>
                <w:sz w:val="22"/>
              </w:rPr>
            </w:pPr>
            <w:r w:rsidRPr="00B774CC">
              <w:rPr>
                <w:sz w:val="22"/>
              </w:rPr>
              <w:t>Sea</w:t>
            </w:r>
            <w:r>
              <w:rPr>
                <w:sz w:val="22"/>
              </w:rPr>
              <w:t>r</w:t>
            </w:r>
            <w:r w:rsidRPr="00B774CC">
              <w:rPr>
                <w:sz w:val="22"/>
              </w:rPr>
              <w:t xml:space="preserve">ches </w:t>
            </w:r>
            <w:r w:rsidR="009F3688">
              <w:rPr>
                <w:sz w:val="22"/>
              </w:rPr>
              <w:t xml:space="preserve">can </w:t>
            </w:r>
            <w:r w:rsidRPr="00B774CC">
              <w:rPr>
                <w:sz w:val="22"/>
              </w:rPr>
              <w:t xml:space="preserve">include </w:t>
            </w:r>
          </w:p>
          <w:p w14:paraId="13D1702F" w14:textId="7C8C6B55" w:rsidR="009F3688" w:rsidRDefault="009F3688" w:rsidP="00D74B2A">
            <w:pPr>
              <w:rPr>
                <w:sz w:val="22"/>
              </w:rPr>
            </w:pPr>
            <w:r>
              <w:rPr>
                <w:sz w:val="22"/>
              </w:rPr>
              <w:t>-</w:t>
            </w:r>
            <w:r w:rsidR="00D74B2A" w:rsidRPr="00B774CC">
              <w:rPr>
                <w:sz w:val="22"/>
              </w:rPr>
              <w:t>LLC1’s (official search of the land charges register</w:t>
            </w:r>
            <w:r>
              <w:rPr>
                <w:sz w:val="22"/>
              </w:rPr>
              <w:t xml:space="preserve"> via HMLR</w:t>
            </w:r>
            <w:r w:rsidR="00D74B2A" w:rsidRPr="00B774CC">
              <w:rPr>
                <w:sz w:val="22"/>
              </w:rPr>
              <w:t xml:space="preserve">) </w:t>
            </w:r>
          </w:p>
          <w:p w14:paraId="0D4EA58E" w14:textId="31FE93B1" w:rsidR="009F3688" w:rsidRDefault="009F3688" w:rsidP="00D74B2A">
            <w:pPr>
              <w:rPr>
                <w:sz w:val="22"/>
              </w:rPr>
            </w:pPr>
            <w:r>
              <w:rPr>
                <w:sz w:val="22"/>
              </w:rPr>
              <w:t>-</w:t>
            </w:r>
            <w:r w:rsidR="00D74B2A" w:rsidRPr="00B774CC">
              <w:rPr>
                <w:sz w:val="22"/>
              </w:rPr>
              <w:t>CON 29 R and CON 29 O</w:t>
            </w:r>
            <w:r>
              <w:rPr>
                <w:sz w:val="22"/>
              </w:rPr>
              <w:t xml:space="preserve"> </w:t>
            </w:r>
          </w:p>
          <w:p w14:paraId="70A81DCE" w14:textId="0E74B1DD" w:rsidR="009F3688" w:rsidRDefault="009F3688" w:rsidP="00D74B2A">
            <w:pPr>
              <w:rPr>
                <w:sz w:val="22"/>
              </w:rPr>
            </w:pPr>
            <w:r>
              <w:rPr>
                <w:sz w:val="22"/>
              </w:rPr>
              <w:t>-Property History Searches</w:t>
            </w:r>
          </w:p>
          <w:p w14:paraId="1C7082E6" w14:textId="7D24323C" w:rsidR="00D74B2A" w:rsidRPr="00B774CC" w:rsidRDefault="00D74B2A" w:rsidP="00D74B2A">
            <w:pPr>
              <w:rPr>
                <w:sz w:val="22"/>
              </w:rPr>
            </w:pPr>
            <w:r w:rsidRPr="00B774CC">
              <w:rPr>
                <w:sz w:val="22"/>
              </w:rPr>
              <w:t xml:space="preserve"> and may require the need to compile responses from planning and health departments at Fenland District Council, from Highway department at </w:t>
            </w:r>
            <w:proofErr w:type="spellStart"/>
            <w:r w:rsidRPr="00B774CC">
              <w:rPr>
                <w:sz w:val="22"/>
              </w:rPr>
              <w:t>Cambs</w:t>
            </w:r>
            <w:proofErr w:type="spellEnd"/>
            <w:r w:rsidRPr="00B774CC">
              <w:rPr>
                <w:sz w:val="22"/>
              </w:rPr>
              <w:t xml:space="preserve"> County Council and from Building Control at CNC.</w:t>
            </w:r>
          </w:p>
          <w:p w14:paraId="235A7A76" w14:textId="77777777" w:rsidR="00D74B2A" w:rsidRPr="00B774CC" w:rsidRDefault="00D74B2A" w:rsidP="00D74B2A">
            <w:pPr>
              <w:rPr>
                <w:sz w:val="22"/>
              </w:rPr>
            </w:pPr>
          </w:p>
          <w:p w14:paraId="6118D097" w14:textId="4E4B7379" w:rsidR="00D74B2A" w:rsidRPr="00B774CC" w:rsidRDefault="00D74B2A" w:rsidP="00D74B2A">
            <w:pPr>
              <w:rPr>
                <w:sz w:val="22"/>
              </w:rPr>
            </w:pPr>
            <w:r w:rsidRPr="00B774CC">
              <w:rPr>
                <w:sz w:val="22"/>
              </w:rPr>
              <w:t xml:space="preserve">The service </w:t>
            </w:r>
            <w:r w:rsidR="00540194" w:rsidRPr="00B774CC">
              <w:rPr>
                <w:sz w:val="22"/>
              </w:rPr>
              <w:t>must</w:t>
            </w:r>
            <w:r w:rsidRPr="00B774CC">
              <w:rPr>
                <w:sz w:val="22"/>
              </w:rPr>
              <w:t xml:space="preserve"> ensure it complies with Local Government Acts (1972, 2000 &amp; 2007), Land Charges legislation &amp; rules</w:t>
            </w:r>
            <w:r>
              <w:rPr>
                <w:sz w:val="22"/>
              </w:rPr>
              <w:t>,</w:t>
            </w:r>
            <w:r w:rsidRPr="00B774CC">
              <w:rPr>
                <w:sz w:val="22"/>
              </w:rPr>
              <w:t xml:space="preserve"> property act</w:t>
            </w:r>
            <w:r>
              <w:rPr>
                <w:sz w:val="22"/>
              </w:rPr>
              <w:t xml:space="preserve"> law</w:t>
            </w:r>
            <w:r w:rsidRPr="00B774CC">
              <w:rPr>
                <w:sz w:val="22"/>
              </w:rPr>
              <w:t xml:space="preserve">, statutory regulations, the Council’s Constitution and financial code and performance indicators set by NLIS. </w:t>
            </w:r>
          </w:p>
          <w:p w14:paraId="100714E3" w14:textId="77777777" w:rsidR="00D74B2A" w:rsidRPr="00B774CC" w:rsidRDefault="00D74B2A" w:rsidP="00D74B2A">
            <w:pPr>
              <w:rPr>
                <w:sz w:val="22"/>
              </w:rPr>
            </w:pPr>
          </w:p>
          <w:p w14:paraId="7AB90EBF" w14:textId="77777777" w:rsidR="00D74B2A" w:rsidRDefault="00D74B2A" w:rsidP="00D74B2A">
            <w:pPr>
              <w:rPr>
                <w:sz w:val="22"/>
              </w:rPr>
            </w:pPr>
            <w:r w:rsidRPr="00B774CC">
              <w:rPr>
                <w:sz w:val="22"/>
              </w:rPr>
              <w:t>The cost of delivering the service is recovered through the appropriate level of fees and charges where applicable.</w:t>
            </w:r>
          </w:p>
          <w:p w14:paraId="6B3CABE1" w14:textId="77777777" w:rsidR="00D74B2A" w:rsidRDefault="00D74B2A" w:rsidP="00D74B2A">
            <w:pPr>
              <w:rPr>
                <w:sz w:val="22"/>
              </w:rPr>
            </w:pPr>
          </w:p>
          <w:p w14:paraId="036D4308" w14:textId="77777777" w:rsidR="00D74B2A" w:rsidRPr="00B774CC" w:rsidRDefault="00D74B2A" w:rsidP="00D74B2A">
            <w:pPr>
              <w:rPr>
                <w:b/>
                <w:sz w:val="22"/>
              </w:rPr>
            </w:pPr>
            <w:r w:rsidRPr="00B774CC">
              <w:rPr>
                <w:b/>
                <w:sz w:val="22"/>
              </w:rPr>
              <w:t>Information used for customer analysis</w:t>
            </w:r>
          </w:p>
          <w:p w14:paraId="11B14627" w14:textId="77777777" w:rsidR="00D74B2A" w:rsidRPr="00B774CC" w:rsidRDefault="00D74B2A" w:rsidP="00D74B2A">
            <w:pPr>
              <w:rPr>
                <w:sz w:val="22"/>
              </w:rPr>
            </w:pPr>
          </w:p>
          <w:p w14:paraId="58DCFB24" w14:textId="77777777" w:rsidR="00D74B2A" w:rsidRPr="00B774CC" w:rsidRDefault="00D74B2A" w:rsidP="00D74B2A">
            <w:pPr>
              <w:rPr>
                <w:sz w:val="22"/>
              </w:rPr>
            </w:pPr>
            <w:r w:rsidRPr="00B774CC">
              <w:rPr>
                <w:sz w:val="22"/>
              </w:rPr>
              <w:t>Monitoring is limited to the number of searches undertaken.</w:t>
            </w:r>
          </w:p>
          <w:p w14:paraId="309B7E07" w14:textId="77777777" w:rsidR="00D74B2A" w:rsidRPr="00B774CC" w:rsidRDefault="00D74B2A" w:rsidP="00D74B2A">
            <w:pPr>
              <w:rPr>
                <w:sz w:val="22"/>
              </w:rPr>
            </w:pPr>
          </w:p>
          <w:p w14:paraId="583EA63D" w14:textId="77777777" w:rsidR="00D74B2A" w:rsidRPr="00B774CC" w:rsidRDefault="00D74B2A" w:rsidP="00D74B2A">
            <w:pPr>
              <w:rPr>
                <w:sz w:val="22"/>
              </w:rPr>
            </w:pPr>
            <w:r w:rsidRPr="00B774CC">
              <w:rPr>
                <w:sz w:val="22"/>
              </w:rPr>
              <w:t>There is no evidence, or other reason to believe, that there is higher or lower level of participation or uptake among different groups. Interest in the service is dictated by those in a position to buy or sell a property. This is a factor beyond the control of the authority.</w:t>
            </w:r>
          </w:p>
          <w:p w14:paraId="767C47E0" w14:textId="77777777" w:rsidR="00D74B2A" w:rsidRPr="00B774CC" w:rsidRDefault="00D74B2A" w:rsidP="00D74B2A">
            <w:pPr>
              <w:rPr>
                <w:sz w:val="22"/>
              </w:rPr>
            </w:pPr>
          </w:p>
          <w:p w14:paraId="18DE54CA" w14:textId="7E046C5A" w:rsidR="00D74B2A" w:rsidRPr="00B774CC" w:rsidRDefault="00D74B2A" w:rsidP="00D74B2A">
            <w:pPr>
              <w:rPr>
                <w:sz w:val="22"/>
              </w:rPr>
            </w:pPr>
            <w:r w:rsidRPr="00B774CC">
              <w:rPr>
                <w:sz w:val="22"/>
              </w:rPr>
              <w:lastRenderedPageBreak/>
              <w:t>The service is open to all and is used by persons purchasing properties and holding an interest in land in the District, Solicitors, Licensed Conveyors, Estate Agents and members of the public.</w:t>
            </w:r>
          </w:p>
          <w:p w14:paraId="33D81480" w14:textId="77777777" w:rsidR="00695B8E" w:rsidRDefault="00695B8E" w:rsidP="00727305"/>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5A2771BC" w14:textId="67DDDF95" w:rsidR="00CD0CD8" w:rsidRDefault="00CD0CD8" w:rsidP="00CD0CD8">
            <w:pPr>
              <w:tabs>
                <w:tab w:val="left" w:pos="1620"/>
              </w:tabs>
              <w:rPr>
                <w:rFonts w:cs="Arial"/>
                <w:szCs w:val="24"/>
              </w:rPr>
            </w:pPr>
          </w:p>
        </w:tc>
        <w:tc>
          <w:tcPr>
            <w:tcW w:w="4649" w:type="dxa"/>
          </w:tcPr>
          <w:p w14:paraId="364322B9" w14:textId="77777777" w:rsidR="001E0ADF" w:rsidRDefault="001E0ADF" w:rsidP="001E0ADF">
            <w:pPr>
              <w:rPr>
                <w:rFonts w:cs="Arial"/>
                <w:szCs w:val="24"/>
              </w:rPr>
            </w:pP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7777777" w:rsidR="001E0ADF" w:rsidRDefault="001E0ADF" w:rsidP="001E0AD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lastRenderedPageBreak/>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1"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1880"/>
        <w:gridCol w:w="2835"/>
        <w:gridCol w:w="2071"/>
        <w:gridCol w:w="2429"/>
      </w:tblGrid>
      <w:tr w:rsidR="00713B84" w14:paraId="65282C59" w14:textId="7665DE52" w:rsidTr="006A5F15">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188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835" w:type="dxa"/>
            <w:shd w:val="clear" w:color="auto" w:fill="E7E6E6" w:themeFill="background2"/>
          </w:tcPr>
          <w:p w14:paraId="1BAD69B5" w14:textId="788C5F8A" w:rsidR="00713B84" w:rsidRPr="003D5A86" w:rsidRDefault="00713B84" w:rsidP="003D5A86">
            <w:pPr>
              <w:rPr>
                <w:b/>
                <w:bCs/>
              </w:rPr>
            </w:pPr>
            <w:r>
              <w:rPr>
                <w:b/>
                <w:bCs/>
              </w:rPr>
              <w:t>Neutral</w:t>
            </w:r>
          </w:p>
        </w:tc>
        <w:tc>
          <w:tcPr>
            <w:tcW w:w="2071"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524505" w14:paraId="259DBE6F" w14:textId="60DFE8DF" w:rsidTr="00575A0D">
        <w:tc>
          <w:tcPr>
            <w:tcW w:w="2642" w:type="dxa"/>
          </w:tcPr>
          <w:p w14:paraId="513A40A0" w14:textId="6C6F07A9" w:rsidR="00524505" w:rsidRDefault="00524505" w:rsidP="003D5A86">
            <w:r>
              <w:t>Sex or Gender</w:t>
            </w:r>
          </w:p>
        </w:tc>
        <w:tc>
          <w:tcPr>
            <w:tcW w:w="2703" w:type="dxa"/>
          </w:tcPr>
          <w:p w14:paraId="42CE225A" w14:textId="0678069F" w:rsidR="00524505" w:rsidRDefault="00524505" w:rsidP="003D5A86">
            <w:r>
              <w:t xml:space="preserve">Women </w:t>
            </w:r>
          </w:p>
        </w:tc>
        <w:tc>
          <w:tcPr>
            <w:tcW w:w="1880" w:type="dxa"/>
          </w:tcPr>
          <w:p w14:paraId="7908A392" w14:textId="77777777" w:rsidR="00524505" w:rsidRDefault="00524505" w:rsidP="003D5A86"/>
        </w:tc>
        <w:tc>
          <w:tcPr>
            <w:tcW w:w="2835" w:type="dxa"/>
          </w:tcPr>
          <w:p w14:paraId="1798003D" w14:textId="183C1ED2" w:rsidR="00524505" w:rsidRPr="00713B84" w:rsidRDefault="00524505" w:rsidP="00713B84">
            <w:pPr>
              <w:jc w:val="center"/>
              <w:rPr>
                <w:b/>
                <w:bCs/>
              </w:rPr>
            </w:pPr>
            <w:r w:rsidRPr="006A5F15">
              <w:t>No known impact</w:t>
            </w:r>
          </w:p>
        </w:tc>
        <w:tc>
          <w:tcPr>
            <w:tcW w:w="2071" w:type="dxa"/>
          </w:tcPr>
          <w:p w14:paraId="5B77FFD0" w14:textId="409E6510" w:rsidR="00524505" w:rsidRDefault="00524505" w:rsidP="003D5A86"/>
        </w:tc>
        <w:tc>
          <w:tcPr>
            <w:tcW w:w="2429" w:type="dxa"/>
          </w:tcPr>
          <w:p w14:paraId="08F5A552" w14:textId="77777777" w:rsidR="00524505" w:rsidRDefault="00524505" w:rsidP="003D5A86"/>
        </w:tc>
      </w:tr>
      <w:tr w:rsidR="00524505" w14:paraId="3A6F56DB" w14:textId="6662611D" w:rsidTr="003D142B">
        <w:tc>
          <w:tcPr>
            <w:tcW w:w="2642" w:type="dxa"/>
          </w:tcPr>
          <w:p w14:paraId="2F9F6312" w14:textId="77777777" w:rsidR="00524505" w:rsidRDefault="00524505" w:rsidP="00713B84"/>
        </w:tc>
        <w:tc>
          <w:tcPr>
            <w:tcW w:w="2703" w:type="dxa"/>
          </w:tcPr>
          <w:p w14:paraId="10A86C9A" w14:textId="3AC2675F" w:rsidR="00524505" w:rsidRDefault="00524505" w:rsidP="00713B84">
            <w:r>
              <w:t>Men</w:t>
            </w:r>
          </w:p>
        </w:tc>
        <w:tc>
          <w:tcPr>
            <w:tcW w:w="1880" w:type="dxa"/>
          </w:tcPr>
          <w:p w14:paraId="285B193A" w14:textId="77777777" w:rsidR="00524505" w:rsidRDefault="00524505" w:rsidP="00713B84"/>
        </w:tc>
        <w:tc>
          <w:tcPr>
            <w:tcW w:w="2835" w:type="dxa"/>
          </w:tcPr>
          <w:p w14:paraId="7841F4C9" w14:textId="64A4EA3B" w:rsidR="00524505" w:rsidRDefault="00524505" w:rsidP="00713B84">
            <w:pPr>
              <w:jc w:val="center"/>
            </w:pPr>
            <w:r>
              <w:t>No known impact</w:t>
            </w:r>
          </w:p>
        </w:tc>
        <w:tc>
          <w:tcPr>
            <w:tcW w:w="2071" w:type="dxa"/>
          </w:tcPr>
          <w:p w14:paraId="49E39246" w14:textId="5BCD9109" w:rsidR="00524505" w:rsidRDefault="00524505" w:rsidP="00713B84"/>
        </w:tc>
        <w:tc>
          <w:tcPr>
            <w:tcW w:w="2429" w:type="dxa"/>
          </w:tcPr>
          <w:p w14:paraId="6734888C" w14:textId="77777777" w:rsidR="00524505" w:rsidRDefault="00524505" w:rsidP="00713B84"/>
        </w:tc>
      </w:tr>
      <w:tr w:rsidR="00524505" w14:paraId="144A39C3" w14:textId="717FAC9A" w:rsidTr="00A7012F">
        <w:tc>
          <w:tcPr>
            <w:tcW w:w="2642" w:type="dxa"/>
          </w:tcPr>
          <w:p w14:paraId="5C63D7B7" w14:textId="77777777" w:rsidR="00524505" w:rsidRDefault="00524505" w:rsidP="00713B84"/>
        </w:tc>
        <w:tc>
          <w:tcPr>
            <w:tcW w:w="2703" w:type="dxa"/>
          </w:tcPr>
          <w:p w14:paraId="7D575E3E" w14:textId="145E1229" w:rsidR="00524505" w:rsidRDefault="00524505" w:rsidP="00713B84">
            <w:r>
              <w:t>Transgender</w:t>
            </w:r>
          </w:p>
        </w:tc>
        <w:tc>
          <w:tcPr>
            <w:tcW w:w="1880" w:type="dxa"/>
          </w:tcPr>
          <w:p w14:paraId="1BC77DC4" w14:textId="77777777" w:rsidR="00524505" w:rsidRDefault="00524505" w:rsidP="00713B84"/>
        </w:tc>
        <w:tc>
          <w:tcPr>
            <w:tcW w:w="2835" w:type="dxa"/>
          </w:tcPr>
          <w:p w14:paraId="02BC8F2F" w14:textId="0247D17B" w:rsidR="00524505" w:rsidRDefault="00524505" w:rsidP="00713B84">
            <w:pPr>
              <w:jc w:val="center"/>
            </w:pPr>
            <w:r>
              <w:t>No known impact</w:t>
            </w:r>
          </w:p>
        </w:tc>
        <w:tc>
          <w:tcPr>
            <w:tcW w:w="2071" w:type="dxa"/>
          </w:tcPr>
          <w:p w14:paraId="4F308AD0" w14:textId="3BECB3DA" w:rsidR="00524505" w:rsidRDefault="00524505" w:rsidP="00713B84"/>
        </w:tc>
        <w:tc>
          <w:tcPr>
            <w:tcW w:w="2429" w:type="dxa"/>
          </w:tcPr>
          <w:p w14:paraId="4A0D880E" w14:textId="77777777" w:rsidR="00524505" w:rsidRDefault="00524505" w:rsidP="00713B84"/>
        </w:tc>
      </w:tr>
      <w:tr w:rsidR="00524505" w14:paraId="60766B0B" w14:textId="77777777" w:rsidTr="006A5F15">
        <w:tc>
          <w:tcPr>
            <w:tcW w:w="2642" w:type="dxa"/>
          </w:tcPr>
          <w:p w14:paraId="3341862C" w14:textId="05457808" w:rsidR="00524505" w:rsidRDefault="00524505" w:rsidP="00713B84">
            <w:r>
              <w:t>Race</w:t>
            </w:r>
          </w:p>
        </w:tc>
        <w:tc>
          <w:tcPr>
            <w:tcW w:w="2703" w:type="dxa"/>
          </w:tcPr>
          <w:p w14:paraId="73C50F30" w14:textId="0E7AFFD9" w:rsidR="00524505" w:rsidRDefault="00524505" w:rsidP="00713B84">
            <w:r>
              <w:t xml:space="preserve">White </w:t>
            </w:r>
          </w:p>
        </w:tc>
        <w:tc>
          <w:tcPr>
            <w:tcW w:w="1880" w:type="dxa"/>
          </w:tcPr>
          <w:p w14:paraId="69E49008" w14:textId="77777777" w:rsidR="00524505" w:rsidRDefault="00524505" w:rsidP="00713B84"/>
        </w:tc>
        <w:tc>
          <w:tcPr>
            <w:tcW w:w="2835" w:type="dxa"/>
          </w:tcPr>
          <w:p w14:paraId="30100EEB" w14:textId="3F258F58" w:rsidR="00524505" w:rsidRDefault="00524505" w:rsidP="00524505">
            <w:pPr>
              <w:jc w:val="center"/>
            </w:pPr>
            <w:r w:rsidRPr="006A5F15">
              <w:t>No known impact</w:t>
            </w:r>
          </w:p>
        </w:tc>
        <w:tc>
          <w:tcPr>
            <w:tcW w:w="2071" w:type="dxa"/>
          </w:tcPr>
          <w:p w14:paraId="00767CD2" w14:textId="13333F4C" w:rsidR="00524505" w:rsidRDefault="00524505" w:rsidP="00713B84"/>
        </w:tc>
        <w:tc>
          <w:tcPr>
            <w:tcW w:w="2429" w:type="dxa"/>
          </w:tcPr>
          <w:p w14:paraId="5C9F25B5" w14:textId="77777777" w:rsidR="00524505" w:rsidRDefault="00524505" w:rsidP="00713B84"/>
        </w:tc>
      </w:tr>
      <w:tr w:rsidR="00524505" w14:paraId="0FB9C5E0" w14:textId="77777777" w:rsidTr="006A5F15">
        <w:tc>
          <w:tcPr>
            <w:tcW w:w="2642" w:type="dxa"/>
          </w:tcPr>
          <w:p w14:paraId="0CBFDD78" w14:textId="77777777" w:rsidR="00524505" w:rsidRDefault="00524505" w:rsidP="00713B84"/>
        </w:tc>
        <w:tc>
          <w:tcPr>
            <w:tcW w:w="2703" w:type="dxa"/>
          </w:tcPr>
          <w:p w14:paraId="379FF213" w14:textId="512F6CDA" w:rsidR="00524505" w:rsidRDefault="00524505" w:rsidP="00713B84">
            <w:r>
              <w:t>Mixed or Multiple Ethnic Groups</w:t>
            </w:r>
          </w:p>
        </w:tc>
        <w:tc>
          <w:tcPr>
            <w:tcW w:w="1880" w:type="dxa"/>
          </w:tcPr>
          <w:p w14:paraId="0E16A68F" w14:textId="77777777" w:rsidR="00524505" w:rsidRDefault="00524505" w:rsidP="00713B84"/>
        </w:tc>
        <w:tc>
          <w:tcPr>
            <w:tcW w:w="2835" w:type="dxa"/>
          </w:tcPr>
          <w:p w14:paraId="5B6B151C" w14:textId="02BB7BE8" w:rsidR="00524505" w:rsidRDefault="00524505" w:rsidP="00713B84">
            <w:pPr>
              <w:jc w:val="center"/>
            </w:pPr>
            <w:r w:rsidRPr="006A5F15">
              <w:t>No known impact</w:t>
            </w:r>
          </w:p>
        </w:tc>
        <w:tc>
          <w:tcPr>
            <w:tcW w:w="2071" w:type="dxa"/>
          </w:tcPr>
          <w:p w14:paraId="160085C2" w14:textId="7EDF6678" w:rsidR="00524505" w:rsidRDefault="00524505" w:rsidP="00713B84"/>
        </w:tc>
        <w:tc>
          <w:tcPr>
            <w:tcW w:w="2429" w:type="dxa"/>
          </w:tcPr>
          <w:p w14:paraId="2D1813BB" w14:textId="77777777" w:rsidR="00524505" w:rsidRDefault="00524505" w:rsidP="00713B84"/>
        </w:tc>
      </w:tr>
      <w:tr w:rsidR="00524505" w14:paraId="6E71CA62" w14:textId="77777777" w:rsidTr="006A5F15">
        <w:tc>
          <w:tcPr>
            <w:tcW w:w="2642" w:type="dxa"/>
          </w:tcPr>
          <w:p w14:paraId="1028A893" w14:textId="77777777" w:rsidR="00524505" w:rsidRDefault="00524505" w:rsidP="00713B84"/>
        </w:tc>
        <w:tc>
          <w:tcPr>
            <w:tcW w:w="2703" w:type="dxa"/>
          </w:tcPr>
          <w:p w14:paraId="02D7D95C" w14:textId="7EA2E142" w:rsidR="00524505" w:rsidRDefault="00524505" w:rsidP="00713B84">
            <w:r>
              <w:t>Asian</w:t>
            </w:r>
          </w:p>
        </w:tc>
        <w:tc>
          <w:tcPr>
            <w:tcW w:w="1880" w:type="dxa"/>
          </w:tcPr>
          <w:p w14:paraId="2DBA5C9D" w14:textId="77777777" w:rsidR="00524505" w:rsidRDefault="00524505" w:rsidP="00713B84"/>
        </w:tc>
        <w:tc>
          <w:tcPr>
            <w:tcW w:w="2835" w:type="dxa"/>
          </w:tcPr>
          <w:p w14:paraId="02A00B73" w14:textId="6D8D185E" w:rsidR="00524505" w:rsidRDefault="00524505" w:rsidP="00713B84">
            <w:pPr>
              <w:jc w:val="center"/>
            </w:pPr>
            <w:r w:rsidRPr="006A5F15">
              <w:t>No known impact</w:t>
            </w:r>
          </w:p>
        </w:tc>
        <w:tc>
          <w:tcPr>
            <w:tcW w:w="2071" w:type="dxa"/>
          </w:tcPr>
          <w:p w14:paraId="617FC3BC" w14:textId="309FEEFC" w:rsidR="00524505" w:rsidRDefault="00524505" w:rsidP="00713B84"/>
        </w:tc>
        <w:tc>
          <w:tcPr>
            <w:tcW w:w="2429" w:type="dxa"/>
          </w:tcPr>
          <w:p w14:paraId="7D84E5D3" w14:textId="77777777" w:rsidR="00524505" w:rsidRDefault="00524505" w:rsidP="00713B84"/>
        </w:tc>
      </w:tr>
      <w:tr w:rsidR="00524505" w14:paraId="0B7047EF" w14:textId="77777777" w:rsidTr="006A5F15">
        <w:tc>
          <w:tcPr>
            <w:tcW w:w="2642" w:type="dxa"/>
          </w:tcPr>
          <w:p w14:paraId="2777AE8C" w14:textId="77777777" w:rsidR="00524505" w:rsidRDefault="00524505" w:rsidP="00713B84"/>
        </w:tc>
        <w:tc>
          <w:tcPr>
            <w:tcW w:w="2703" w:type="dxa"/>
          </w:tcPr>
          <w:p w14:paraId="356FFB7D" w14:textId="354A3756" w:rsidR="00524505" w:rsidRDefault="00524505" w:rsidP="00713B84">
            <w:r>
              <w:t>African</w:t>
            </w:r>
          </w:p>
        </w:tc>
        <w:tc>
          <w:tcPr>
            <w:tcW w:w="1880" w:type="dxa"/>
          </w:tcPr>
          <w:p w14:paraId="240FC0F4" w14:textId="77777777" w:rsidR="00524505" w:rsidRDefault="00524505" w:rsidP="00713B84"/>
        </w:tc>
        <w:tc>
          <w:tcPr>
            <w:tcW w:w="2835" w:type="dxa"/>
          </w:tcPr>
          <w:p w14:paraId="578A42B4" w14:textId="58ECCAFB" w:rsidR="00524505" w:rsidRDefault="00524505" w:rsidP="00713B84">
            <w:pPr>
              <w:jc w:val="center"/>
            </w:pPr>
            <w:r w:rsidRPr="006A5F15">
              <w:t>No known impact</w:t>
            </w:r>
          </w:p>
        </w:tc>
        <w:tc>
          <w:tcPr>
            <w:tcW w:w="2071" w:type="dxa"/>
          </w:tcPr>
          <w:p w14:paraId="0B6A229E" w14:textId="3372D60B" w:rsidR="00524505" w:rsidRDefault="00524505" w:rsidP="00713B84"/>
        </w:tc>
        <w:tc>
          <w:tcPr>
            <w:tcW w:w="2429" w:type="dxa"/>
          </w:tcPr>
          <w:p w14:paraId="01BEAFF0" w14:textId="77777777" w:rsidR="00524505" w:rsidRDefault="00524505" w:rsidP="00713B84"/>
        </w:tc>
      </w:tr>
      <w:tr w:rsidR="00524505" w14:paraId="03CD8CBC" w14:textId="77777777" w:rsidTr="006A5F15">
        <w:tc>
          <w:tcPr>
            <w:tcW w:w="2642" w:type="dxa"/>
          </w:tcPr>
          <w:p w14:paraId="25BAB087" w14:textId="77777777" w:rsidR="00524505" w:rsidRDefault="00524505" w:rsidP="00713B84"/>
        </w:tc>
        <w:tc>
          <w:tcPr>
            <w:tcW w:w="2703" w:type="dxa"/>
          </w:tcPr>
          <w:p w14:paraId="0612E245" w14:textId="46606654" w:rsidR="00524505" w:rsidRDefault="00524505" w:rsidP="00713B84">
            <w:r>
              <w:t>Caribbean or Black</w:t>
            </w:r>
          </w:p>
        </w:tc>
        <w:tc>
          <w:tcPr>
            <w:tcW w:w="1880" w:type="dxa"/>
          </w:tcPr>
          <w:p w14:paraId="1D7F1F86" w14:textId="77777777" w:rsidR="00524505" w:rsidRDefault="00524505" w:rsidP="00713B84"/>
        </w:tc>
        <w:tc>
          <w:tcPr>
            <w:tcW w:w="2835" w:type="dxa"/>
          </w:tcPr>
          <w:p w14:paraId="1BAE5336" w14:textId="0F33E145" w:rsidR="00524505" w:rsidRDefault="00524505" w:rsidP="00713B84">
            <w:pPr>
              <w:jc w:val="center"/>
            </w:pPr>
            <w:r w:rsidRPr="006A5F15">
              <w:t>No known impact</w:t>
            </w:r>
          </w:p>
        </w:tc>
        <w:tc>
          <w:tcPr>
            <w:tcW w:w="2071" w:type="dxa"/>
          </w:tcPr>
          <w:p w14:paraId="30E922D6" w14:textId="61F1FE1C" w:rsidR="00524505" w:rsidRDefault="00524505" w:rsidP="00713B84"/>
        </w:tc>
        <w:tc>
          <w:tcPr>
            <w:tcW w:w="2429" w:type="dxa"/>
          </w:tcPr>
          <w:p w14:paraId="7AEA2655" w14:textId="77777777" w:rsidR="00524505" w:rsidRDefault="00524505" w:rsidP="00713B84"/>
        </w:tc>
      </w:tr>
      <w:tr w:rsidR="00524505" w14:paraId="381A2A74" w14:textId="77777777" w:rsidTr="006A5F15">
        <w:tc>
          <w:tcPr>
            <w:tcW w:w="2642" w:type="dxa"/>
          </w:tcPr>
          <w:p w14:paraId="75AF0A79" w14:textId="77777777" w:rsidR="00524505" w:rsidRDefault="00524505" w:rsidP="00713B84"/>
        </w:tc>
        <w:tc>
          <w:tcPr>
            <w:tcW w:w="2703" w:type="dxa"/>
          </w:tcPr>
          <w:p w14:paraId="5731B9D1" w14:textId="2B5A883D" w:rsidR="00524505" w:rsidRDefault="00524505" w:rsidP="00713B84">
            <w:r>
              <w:t>Other Ethnic Group</w:t>
            </w:r>
          </w:p>
        </w:tc>
        <w:tc>
          <w:tcPr>
            <w:tcW w:w="1880" w:type="dxa"/>
          </w:tcPr>
          <w:p w14:paraId="29B27C7D" w14:textId="77777777" w:rsidR="00524505" w:rsidRDefault="00524505" w:rsidP="00713B84"/>
        </w:tc>
        <w:tc>
          <w:tcPr>
            <w:tcW w:w="2835" w:type="dxa"/>
          </w:tcPr>
          <w:p w14:paraId="5091EE0D" w14:textId="5455BEA0" w:rsidR="00524505" w:rsidRDefault="00524505" w:rsidP="00713B84">
            <w:pPr>
              <w:jc w:val="center"/>
            </w:pPr>
            <w:r w:rsidRPr="006A5F15">
              <w:t>No known impact</w:t>
            </w:r>
          </w:p>
        </w:tc>
        <w:tc>
          <w:tcPr>
            <w:tcW w:w="2071" w:type="dxa"/>
          </w:tcPr>
          <w:p w14:paraId="3F5EA106" w14:textId="01E530E8" w:rsidR="00524505" w:rsidRDefault="00524505" w:rsidP="00713B84"/>
        </w:tc>
        <w:tc>
          <w:tcPr>
            <w:tcW w:w="2429" w:type="dxa"/>
          </w:tcPr>
          <w:p w14:paraId="2C544650" w14:textId="77777777" w:rsidR="00524505" w:rsidRDefault="00524505" w:rsidP="00713B84"/>
        </w:tc>
      </w:tr>
      <w:tr w:rsidR="00524505" w14:paraId="0A38FDB3" w14:textId="77777777" w:rsidTr="006A5F15">
        <w:tc>
          <w:tcPr>
            <w:tcW w:w="2642" w:type="dxa"/>
          </w:tcPr>
          <w:p w14:paraId="7E05F785" w14:textId="1EA7A894" w:rsidR="00524505" w:rsidRDefault="00524505" w:rsidP="00713B84">
            <w:r>
              <w:t>Disability</w:t>
            </w:r>
          </w:p>
        </w:tc>
        <w:tc>
          <w:tcPr>
            <w:tcW w:w="2703" w:type="dxa"/>
          </w:tcPr>
          <w:p w14:paraId="45F5B522" w14:textId="10261685" w:rsidR="00524505" w:rsidRDefault="00524505" w:rsidP="00713B84">
            <w:r>
              <w:t>Physical disability</w:t>
            </w:r>
          </w:p>
        </w:tc>
        <w:tc>
          <w:tcPr>
            <w:tcW w:w="1880" w:type="dxa"/>
          </w:tcPr>
          <w:p w14:paraId="7E32B117" w14:textId="77777777" w:rsidR="00524505" w:rsidRDefault="00524505" w:rsidP="00713B84"/>
        </w:tc>
        <w:tc>
          <w:tcPr>
            <w:tcW w:w="2835" w:type="dxa"/>
          </w:tcPr>
          <w:p w14:paraId="10293983" w14:textId="2E080679" w:rsidR="00524505" w:rsidRDefault="00524505" w:rsidP="00524505">
            <w:pPr>
              <w:jc w:val="center"/>
            </w:pPr>
            <w:r w:rsidRPr="006A5F15">
              <w:t>No known impact</w:t>
            </w:r>
          </w:p>
        </w:tc>
        <w:tc>
          <w:tcPr>
            <w:tcW w:w="2071" w:type="dxa"/>
          </w:tcPr>
          <w:p w14:paraId="79C0B417" w14:textId="1B791BB9" w:rsidR="00524505" w:rsidRDefault="00524505" w:rsidP="00713B84"/>
        </w:tc>
        <w:tc>
          <w:tcPr>
            <w:tcW w:w="2429" w:type="dxa"/>
          </w:tcPr>
          <w:p w14:paraId="70C9D68E" w14:textId="77777777" w:rsidR="00524505" w:rsidRDefault="00524505" w:rsidP="00713B84"/>
        </w:tc>
      </w:tr>
      <w:tr w:rsidR="00524505" w14:paraId="2754F896" w14:textId="77777777" w:rsidTr="006A5F15">
        <w:tc>
          <w:tcPr>
            <w:tcW w:w="2642" w:type="dxa"/>
          </w:tcPr>
          <w:p w14:paraId="478BEF29" w14:textId="77777777" w:rsidR="00524505" w:rsidRDefault="00524505" w:rsidP="00713B84"/>
        </w:tc>
        <w:tc>
          <w:tcPr>
            <w:tcW w:w="2703" w:type="dxa"/>
          </w:tcPr>
          <w:p w14:paraId="5E62D614" w14:textId="368B41FA" w:rsidR="00524505" w:rsidRDefault="00524505" w:rsidP="00713B84">
            <w:r>
              <w:t>Sensory Impairment (e.g. sight, heading)</w:t>
            </w:r>
          </w:p>
        </w:tc>
        <w:tc>
          <w:tcPr>
            <w:tcW w:w="1880" w:type="dxa"/>
          </w:tcPr>
          <w:p w14:paraId="10BBA379" w14:textId="77777777" w:rsidR="00524505" w:rsidRDefault="00524505" w:rsidP="00713B84"/>
        </w:tc>
        <w:tc>
          <w:tcPr>
            <w:tcW w:w="2835" w:type="dxa"/>
          </w:tcPr>
          <w:p w14:paraId="5E290BF1" w14:textId="04ED18F1" w:rsidR="00524505" w:rsidRDefault="00524505" w:rsidP="00713B84">
            <w:pPr>
              <w:jc w:val="center"/>
            </w:pPr>
            <w:r w:rsidRPr="006A5F15">
              <w:t>No known impact</w:t>
            </w:r>
          </w:p>
        </w:tc>
        <w:tc>
          <w:tcPr>
            <w:tcW w:w="2071" w:type="dxa"/>
          </w:tcPr>
          <w:p w14:paraId="097B0325" w14:textId="63340823" w:rsidR="00524505" w:rsidRDefault="00524505" w:rsidP="00713B84"/>
        </w:tc>
        <w:tc>
          <w:tcPr>
            <w:tcW w:w="2429" w:type="dxa"/>
          </w:tcPr>
          <w:p w14:paraId="4F346008" w14:textId="77777777" w:rsidR="00524505" w:rsidRDefault="00524505" w:rsidP="00713B84"/>
        </w:tc>
      </w:tr>
      <w:tr w:rsidR="00524505" w14:paraId="3AFFCDB4" w14:textId="77777777" w:rsidTr="006A5F15">
        <w:tc>
          <w:tcPr>
            <w:tcW w:w="2642" w:type="dxa"/>
          </w:tcPr>
          <w:p w14:paraId="38462805" w14:textId="77777777" w:rsidR="00524505" w:rsidRDefault="00524505" w:rsidP="00713B84"/>
        </w:tc>
        <w:tc>
          <w:tcPr>
            <w:tcW w:w="2703" w:type="dxa"/>
          </w:tcPr>
          <w:p w14:paraId="767A07E1" w14:textId="31886DDD" w:rsidR="00524505" w:rsidRDefault="00524505" w:rsidP="00713B84">
            <w:r>
              <w:t>Mental health</w:t>
            </w:r>
          </w:p>
        </w:tc>
        <w:tc>
          <w:tcPr>
            <w:tcW w:w="1880" w:type="dxa"/>
          </w:tcPr>
          <w:p w14:paraId="428D2831" w14:textId="77777777" w:rsidR="00524505" w:rsidRDefault="00524505" w:rsidP="00713B84"/>
        </w:tc>
        <w:tc>
          <w:tcPr>
            <w:tcW w:w="2835" w:type="dxa"/>
          </w:tcPr>
          <w:p w14:paraId="1746C4B8" w14:textId="16E285E2" w:rsidR="00524505" w:rsidRDefault="00524505" w:rsidP="00713B84">
            <w:pPr>
              <w:jc w:val="center"/>
            </w:pPr>
            <w:r w:rsidRPr="006A5F15">
              <w:t>No known impact</w:t>
            </w:r>
          </w:p>
        </w:tc>
        <w:tc>
          <w:tcPr>
            <w:tcW w:w="2071" w:type="dxa"/>
          </w:tcPr>
          <w:p w14:paraId="3C4BB78B" w14:textId="47C2CD32" w:rsidR="00524505" w:rsidRDefault="00524505" w:rsidP="00713B84"/>
        </w:tc>
        <w:tc>
          <w:tcPr>
            <w:tcW w:w="2429" w:type="dxa"/>
          </w:tcPr>
          <w:p w14:paraId="3FCD1DDF" w14:textId="77777777" w:rsidR="00524505" w:rsidRDefault="00524505" w:rsidP="00713B84"/>
        </w:tc>
      </w:tr>
      <w:tr w:rsidR="00524505" w14:paraId="1B61160E" w14:textId="77777777" w:rsidTr="006A5F15">
        <w:tc>
          <w:tcPr>
            <w:tcW w:w="2642" w:type="dxa"/>
          </w:tcPr>
          <w:p w14:paraId="72657B66" w14:textId="77777777" w:rsidR="00524505" w:rsidRDefault="00524505" w:rsidP="00713B84"/>
        </w:tc>
        <w:tc>
          <w:tcPr>
            <w:tcW w:w="2703" w:type="dxa"/>
          </w:tcPr>
          <w:p w14:paraId="3A3BEC7E" w14:textId="181F8590" w:rsidR="00524505" w:rsidRDefault="00524505" w:rsidP="00713B84">
            <w:r>
              <w:t>Learning disability</w:t>
            </w:r>
          </w:p>
        </w:tc>
        <w:tc>
          <w:tcPr>
            <w:tcW w:w="1880" w:type="dxa"/>
          </w:tcPr>
          <w:p w14:paraId="27EC821B" w14:textId="77777777" w:rsidR="00524505" w:rsidRDefault="00524505" w:rsidP="00713B84"/>
        </w:tc>
        <w:tc>
          <w:tcPr>
            <w:tcW w:w="2835" w:type="dxa"/>
          </w:tcPr>
          <w:p w14:paraId="18D25F00" w14:textId="0B36E8A6" w:rsidR="00524505" w:rsidRDefault="00524505" w:rsidP="00713B84">
            <w:pPr>
              <w:jc w:val="center"/>
            </w:pPr>
            <w:r w:rsidRPr="006A5F15">
              <w:t>No known impact</w:t>
            </w:r>
          </w:p>
        </w:tc>
        <w:tc>
          <w:tcPr>
            <w:tcW w:w="2071" w:type="dxa"/>
          </w:tcPr>
          <w:p w14:paraId="3748019A" w14:textId="50C7B75E" w:rsidR="00524505" w:rsidRDefault="00524505" w:rsidP="00713B84"/>
        </w:tc>
        <w:tc>
          <w:tcPr>
            <w:tcW w:w="2429" w:type="dxa"/>
          </w:tcPr>
          <w:p w14:paraId="607248D6" w14:textId="77777777" w:rsidR="00524505" w:rsidRDefault="00524505" w:rsidP="00713B84"/>
        </w:tc>
      </w:tr>
      <w:tr w:rsidR="00524505" w14:paraId="6BEA0620" w14:textId="77777777" w:rsidTr="006A5F15">
        <w:tc>
          <w:tcPr>
            <w:tcW w:w="2642" w:type="dxa"/>
          </w:tcPr>
          <w:p w14:paraId="210F5A3B" w14:textId="05DF5078" w:rsidR="00524505" w:rsidRDefault="00524505" w:rsidP="00713B84">
            <w:r>
              <w:lastRenderedPageBreak/>
              <w:t>LGBT</w:t>
            </w:r>
          </w:p>
        </w:tc>
        <w:tc>
          <w:tcPr>
            <w:tcW w:w="2703" w:type="dxa"/>
          </w:tcPr>
          <w:p w14:paraId="6505520A" w14:textId="249E4FC6" w:rsidR="00524505" w:rsidRDefault="00524505" w:rsidP="00713B84">
            <w:r>
              <w:t>Lesbians</w:t>
            </w:r>
          </w:p>
        </w:tc>
        <w:tc>
          <w:tcPr>
            <w:tcW w:w="1880" w:type="dxa"/>
          </w:tcPr>
          <w:p w14:paraId="182923D9" w14:textId="77777777" w:rsidR="00524505" w:rsidRDefault="00524505" w:rsidP="00713B84"/>
        </w:tc>
        <w:tc>
          <w:tcPr>
            <w:tcW w:w="2835" w:type="dxa"/>
          </w:tcPr>
          <w:p w14:paraId="7EC2D735" w14:textId="7DE73838" w:rsidR="00524505" w:rsidRDefault="00524505" w:rsidP="00524505">
            <w:pPr>
              <w:jc w:val="center"/>
            </w:pPr>
            <w:r w:rsidRPr="006A5F15">
              <w:t>No known impact</w:t>
            </w:r>
          </w:p>
        </w:tc>
        <w:tc>
          <w:tcPr>
            <w:tcW w:w="2071" w:type="dxa"/>
          </w:tcPr>
          <w:p w14:paraId="7D5109FB" w14:textId="30B3DA1A" w:rsidR="00524505" w:rsidRDefault="00524505" w:rsidP="00713B84"/>
        </w:tc>
        <w:tc>
          <w:tcPr>
            <w:tcW w:w="2429" w:type="dxa"/>
          </w:tcPr>
          <w:p w14:paraId="28F8CD55" w14:textId="77777777" w:rsidR="00524505" w:rsidRDefault="00524505" w:rsidP="00713B84"/>
        </w:tc>
      </w:tr>
      <w:tr w:rsidR="00524505" w14:paraId="3FB3D175" w14:textId="77777777" w:rsidTr="006A5F15">
        <w:tc>
          <w:tcPr>
            <w:tcW w:w="2642" w:type="dxa"/>
          </w:tcPr>
          <w:p w14:paraId="1CF8367B" w14:textId="77777777" w:rsidR="00524505" w:rsidRDefault="00524505" w:rsidP="00713B84"/>
        </w:tc>
        <w:tc>
          <w:tcPr>
            <w:tcW w:w="2703" w:type="dxa"/>
          </w:tcPr>
          <w:p w14:paraId="794ED908" w14:textId="2452D9CD" w:rsidR="00524505" w:rsidRDefault="00524505" w:rsidP="00713B84">
            <w:r>
              <w:t>Gay Men</w:t>
            </w:r>
          </w:p>
        </w:tc>
        <w:tc>
          <w:tcPr>
            <w:tcW w:w="1880" w:type="dxa"/>
          </w:tcPr>
          <w:p w14:paraId="60E90BA1" w14:textId="77777777" w:rsidR="00524505" w:rsidRDefault="00524505" w:rsidP="00713B84"/>
        </w:tc>
        <w:tc>
          <w:tcPr>
            <w:tcW w:w="2835" w:type="dxa"/>
          </w:tcPr>
          <w:p w14:paraId="0C17B9AB" w14:textId="3278807A" w:rsidR="00524505" w:rsidRDefault="00524505" w:rsidP="00713B84">
            <w:pPr>
              <w:jc w:val="center"/>
            </w:pPr>
            <w:r>
              <w:t>No known impact</w:t>
            </w:r>
          </w:p>
        </w:tc>
        <w:tc>
          <w:tcPr>
            <w:tcW w:w="2071" w:type="dxa"/>
          </w:tcPr>
          <w:p w14:paraId="677005EA" w14:textId="6BF0B334" w:rsidR="00524505" w:rsidRDefault="00524505" w:rsidP="00713B84"/>
        </w:tc>
        <w:tc>
          <w:tcPr>
            <w:tcW w:w="2429" w:type="dxa"/>
          </w:tcPr>
          <w:p w14:paraId="4F9FC776" w14:textId="77777777" w:rsidR="00524505" w:rsidRDefault="00524505" w:rsidP="00713B84"/>
        </w:tc>
      </w:tr>
      <w:tr w:rsidR="00524505" w14:paraId="54273A0F" w14:textId="77777777" w:rsidTr="006A5F15">
        <w:tc>
          <w:tcPr>
            <w:tcW w:w="2642" w:type="dxa"/>
          </w:tcPr>
          <w:p w14:paraId="3993430D" w14:textId="77777777" w:rsidR="00524505" w:rsidRDefault="00524505" w:rsidP="00713B84"/>
        </w:tc>
        <w:tc>
          <w:tcPr>
            <w:tcW w:w="2703" w:type="dxa"/>
          </w:tcPr>
          <w:p w14:paraId="6180103A" w14:textId="2E4D2B51" w:rsidR="00524505" w:rsidRDefault="00524505" w:rsidP="00713B84">
            <w:r>
              <w:t>Bisexual</w:t>
            </w:r>
          </w:p>
        </w:tc>
        <w:tc>
          <w:tcPr>
            <w:tcW w:w="1880" w:type="dxa"/>
          </w:tcPr>
          <w:p w14:paraId="08FB7E5B" w14:textId="77777777" w:rsidR="00524505" w:rsidRDefault="00524505" w:rsidP="00713B84"/>
        </w:tc>
        <w:tc>
          <w:tcPr>
            <w:tcW w:w="2835" w:type="dxa"/>
          </w:tcPr>
          <w:p w14:paraId="36C88A34" w14:textId="3207D405" w:rsidR="00524505" w:rsidRDefault="00524505" w:rsidP="00713B84">
            <w:pPr>
              <w:jc w:val="center"/>
            </w:pPr>
            <w:r>
              <w:t>No known impact</w:t>
            </w:r>
          </w:p>
        </w:tc>
        <w:tc>
          <w:tcPr>
            <w:tcW w:w="2071" w:type="dxa"/>
          </w:tcPr>
          <w:p w14:paraId="332B1125" w14:textId="33A75DDC" w:rsidR="00524505" w:rsidRDefault="00524505" w:rsidP="00713B84"/>
        </w:tc>
        <w:tc>
          <w:tcPr>
            <w:tcW w:w="2429" w:type="dxa"/>
          </w:tcPr>
          <w:p w14:paraId="163D991A" w14:textId="77777777" w:rsidR="00524505" w:rsidRDefault="00524505" w:rsidP="00713B84"/>
        </w:tc>
      </w:tr>
      <w:tr w:rsidR="00524505" w14:paraId="1E07721A" w14:textId="77777777" w:rsidTr="006A5F15">
        <w:tc>
          <w:tcPr>
            <w:tcW w:w="2642" w:type="dxa"/>
          </w:tcPr>
          <w:p w14:paraId="5A725ED7" w14:textId="4F76A7C4" w:rsidR="00524505" w:rsidRDefault="00524505" w:rsidP="00713B84">
            <w:r>
              <w:t>Age</w:t>
            </w:r>
          </w:p>
        </w:tc>
        <w:tc>
          <w:tcPr>
            <w:tcW w:w="2703" w:type="dxa"/>
          </w:tcPr>
          <w:p w14:paraId="70AD3758" w14:textId="0A6DE403" w:rsidR="00524505" w:rsidRDefault="00524505" w:rsidP="00713B84">
            <w:r>
              <w:t>Older people (60+)</w:t>
            </w:r>
          </w:p>
        </w:tc>
        <w:tc>
          <w:tcPr>
            <w:tcW w:w="1880" w:type="dxa"/>
          </w:tcPr>
          <w:p w14:paraId="4031119F" w14:textId="77777777" w:rsidR="00524505" w:rsidRDefault="00524505" w:rsidP="00713B84"/>
        </w:tc>
        <w:tc>
          <w:tcPr>
            <w:tcW w:w="2835" w:type="dxa"/>
          </w:tcPr>
          <w:p w14:paraId="59653059" w14:textId="6ADC5712" w:rsidR="00524505" w:rsidRDefault="00524505" w:rsidP="00524505">
            <w:pPr>
              <w:jc w:val="center"/>
            </w:pPr>
            <w:r w:rsidRPr="006A5F15">
              <w:t>No known impact</w:t>
            </w:r>
          </w:p>
        </w:tc>
        <w:tc>
          <w:tcPr>
            <w:tcW w:w="2071" w:type="dxa"/>
          </w:tcPr>
          <w:p w14:paraId="357DD4E8" w14:textId="7AD85C98" w:rsidR="00524505" w:rsidRDefault="00524505" w:rsidP="00713B84"/>
        </w:tc>
        <w:tc>
          <w:tcPr>
            <w:tcW w:w="2429" w:type="dxa"/>
          </w:tcPr>
          <w:p w14:paraId="375DA172" w14:textId="77777777" w:rsidR="00524505" w:rsidRDefault="00524505" w:rsidP="00713B84"/>
        </w:tc>
      </w:tr>
      <w:tr w:rsidR="00524505" w14:paraId="0B278962" w14:textId="77777777" w:rsidTr="006A5F15">
        <w:tc>
          <w:tcPr>
            <w:tcW w:w="2642" w:type="dxa"/>
          </w:tcPr>
          <w:p w14:paraId="6F08B9EC" w14:textId="77777777" w:rsidR="00524505" w:rsidRDefault="00524505" w:rsidP="00713B84"/>
        </w:tc>
        <w:tc>
          <w:tcPr>
            <w:tcW w:w="2703" w:type="dxa"/>
          </w:tcPr>
          <w:p w14:paraId="3CD17D82" w14:textId="4C5CC924" w:rsidR="00524505" w:rsidRDefault="00524505" w:rsidP="00713B84">
            <w:r>
              <w:t>Younger people (18-25)</w:t>
            </w:r>
          </w:p>
        </w:tc>
        <w:tc>
          <w:tcPr>
            <w:tcW w:w="1880" w:type="dxa"/>
          </w:tcPr>
          <w:p w14:paraId="4BC8B7EC" w14:textId="77777777" w:rsidR="00524505" w:rsidRDefault="00524505" w:rsidP="00713B84"/>
        </w:tc>
        <w:tc>
          <w:tcPr>
            <w:tcW w:w="2835" w:type="dxa"/>
          </w:tcPr>
          <w:p w14:paraId="0DF9E026" w14:textId="578C5004" w:rsidR="00524505" w:rsidRDefault="00524505" w:rsidP="00713B84">
            <w:pPr>
              <w:jc w:val="center"/>
            </w:pPr>
            <w:r>
              <w:t>No known impact</w:t>
            </w:r>
          </w:p>
        </w:tc>
        <w:tc>
          <w:tcPr>
            <w:tcW w:w="2071" w:type="dxa"/>
          </w:tcPr>
          <w:p w14:paraId="6E44AE73" w14:textId="6CAB982D" w:rsidR="00524505" w:rsidRDefault="00524505" w:rsidP="00713B84"/>
        </w:tc>
        <w:tc>
          <w:tcPr>
            <w:tcW w:w="2429" w:type="dxa"/>
          </w:tcPr>
          <w:p w14:paraId="5BE56A30" w14:textId="77777777" w:rsidR="00524505" w:rsidRDefault="00524505" w:rsidP="00713B84"/>
        </w:tc>
      </w:tr>
      <w:tr w:rsidR="00524505" w14:paraId="31406D21" w14:textId="77777777" w:rsidTr="006A5F15">
        <w:tc>
          <w:tcPr>
            <w:tcW w:w="2642" w:type="dxa"/>
          </w:tcPr>
          <w:p w14:paraId="13A0A3BA" w14:textId="77777777" w:rsidR="00524505" w:rsidRDefault="00524505" w:rsidP="00713B84"/>
        </w:tc>
        <w:tc>
          <w:tcPr>
            <w:tcW w:w="2703" w:type="dxa"/>
          </w:tcPr>
          <w:p w14:paraId="14B5E014" w14:textId="687FF020" w:rsidR="00524505" w:rsidRDefault="00524505" w:rsidP="00713B84">
            <w:r>
              <w:t>Children (0-16)</w:t>
            </w:r>
          </w:p>
        </w:tc>
        <w:tc>
          <w:tcPr>
            <w:tcW w:w="1880" w:type="dxa"/>
          </w:tcPr>
          <w:p w14:paraId="20621A03" w14:textId="77777777" w:rsidR="00524505" w:rsidRDefault="00524505" w:rsidP="00713B84"/>
        </w:tc>
        <w:tc>
          <w:tcPr>
            <w:tcW w:w="2835" w:type="dxa"/>
          </w:tcPr>
          <w:p w14:paraId="2DDDC77C" w14:textId="0CB9F597" w:rsidR="00524505" w:rsidRDefault="00524505" w:rsidP="00713B84">
            <w:pPr>
              <w:jc w:val="center"/>
            </w:pPr>
            <w:r>
              <w:t>No known impact</w:t>
            </w:r>
          </w:p>
        </w:tc>
        <w:tc>
          <w:tcPr>
            <w:tcW w:w="2071" w:type="dxa"/>
          </w:tcPr>
          <w:p w14:paraId="6E8CA826" w14:textId="5CC287BA" w:rsidR="00524505" w:rsidRDefault="00524505" w:rsidP="00713B84"/>
        </w:tc>
        <w:tc>
          <w:tcPr>
            <w:tcW w:w="2429" w:type="dxa"/>
          </w:tcPr>
          <w:p w14:paraId="251BA973" w14:textId="77777777" w:rsidR="00524505" w:rsidRDefault="00524505" w:rsidP="00713B84"/>
        </w:tc>
      </w:tr>
      <w:tr w:rsidR="00524505" w14:paraId="49C72180" w14:textId="77777777" w:rsidTr="006A5F15">
        <w:tc>
          <w:tcPr>
            <w:tcW w:w="2642" w:type="dxa"/>
          </w:tcPr>
          <w:p w14:paraId="371C4C2B" w14:textId="1CC28661" w:rsidR="00524505" w:rsidRDefault="00524505" w:rsidP="00713B84">
            <w:r>
              <w:t>Marriage and Civil Partnership</w:t>
            </w:r>
          </w:p>
        </w:tc>
        <w:tc>
          <w:tcPr>
            <w:tcW w:w="2703" w:type="dxa"/>
          </w:tcPr>
          <w:p w14:paraId="53A2E656" w14:textId="2676D8F0" w:rsidR="00524505" w:rsidRDefault="00524505" w:rsidP="00713B84">
            <w:r>
              <w:t>Women</w:t>
            </w:r>
          </w:p>
        </w:tc>
        <w:tc>
          <w:tcPr>
            <w:tcW w:w="1880" w:type="dxa"/>
          </w:tcPr>
          <w:p w14:paraId="2B6B4D7B" w14:textId="77777777" w:rsidR="00524505" w:rsidRDefault="00524505" w:rsidP="00713B84"/>
        </w:tc>
        <w:tc>
          <w:tcPr>
            <w:tcW w:w="2835" w:type="dxa"/>
          </w:tcPr>
          <w:p w14:paraId="671DA1FE" w14:textId="550F5BED" w:rsidR="00524505" w:rsidRPr="006A5F15" w:rsidRDefault="00524505" w:rsidP="006A5F15">
            <w:pPr>
              <w:jc w:val="center"/>
            </w:pPr>
            <w:r w:rsidRPr="006A5F15">
              <w:t>No known impact</w:t>
            </w:r>
          </w:p>
          <w:p w14:paraId="75CA658C" w14:textId="4DFFBDB5" w:rsidR="00524505" w:rsidRDefault="00524505" w:rsidP="00713B84">
            <w:pPr>
              <w:jc w:val="center"/>
            </w:pPr>
          </w:p>
        </w:tc>
        <w:tc>
          <w:tcPr>
            <w:tcW w:w="2071" w:type="dxa"/>
          </w:tcPr>
          <w:p w14:paraId="4E883229" w14:textId="52B7F1F7" w:rsidR="00524505" w:rsidRDefault="00524505" w:rsidP="00713B84"/>
        </w:tc>
        <w:tc>
          <w:tcPr>
            <w:tcW w:w="2429" w:type="dxa"/>
          </w:tcPr>
          <w:p w14:paraId="59F93DDD" w14:textId="77777777" w:rsidR="00524505" w:rsidRDefault="00524505" w:rsidP="00713B84"/>
        </w:tc>
      </w:tr>
      <w:tr w:rsidR="00524505" w14:paraId="645E5DEA" w14:textId="77777777" w:rsidTr="006A5F15">
        <w:tc>
          <w:tcPr>
            <w:tcW w:w="2642" w:type="dxa"/>
          </w:tcPr>
          <w:p w14:paraId="314763CE" w14:textId="77777777" w:rsidR="00524505" w:rsidRDefault="00524505" w:rsidP="00713B84"/>
        </w:tc>
        <w:tc>
          <w:tcPr>
            <w:tcW w:w="2703" w:type="dxa"/>
          </w:tcPr>
          <w:p w14:paraId="1ACCACD5" w14:textId="1E1D4E86" w:rsidR="00524505" w:rsidRDefault="00524505" w:rsidP="00713B84">
            <w:r>
              <w:t>Men</w:t>
            </w:r>
          </w:p>
        </w:tc>
        <w:tc>
          <w:tcPr>
            <w:tcW w:w="1880" w:type="dxa"/>
          </w:tcPr>
          <w:p w14:paraId="390F166F" w14:textId="77777777" w:rsidR="00524505" w:rsidRDefault="00524505" w:rsidP="00713B84"/>
        </w:tc>
        <w:tc>
          <w:tcPr>
            <w:tcW w:w="2835" w:type="dxa"/>
          </w:tcPr>
          <w:p w14:paraId="38E6F9EF" w14:textId="0B2B5EE4" w:rsidR="00524505" w:rsidRDefault="00524505" w:rsidP="00713B84">
            <w:pPr>
              <w:jc w:val="center"/>
            </w:pPr>
            <w:r w:rsidRPr="006A5F15">
              <w:t>No known impact</w:t>
            </w:r>
          </w:p>
        </w:tc>
        <w:tc>
          <w:tcPr>
            <w:tcW w:w="2071" w:type="dxa"/>
          </w:tcPr>
          <w:p w14:paraId="12DC7CDD" w14:textId="17C342D1" w:rsidR="00524505" w:rsidRDefault="00524505" w:rsidP="00713B84"/>
        </w:tc>
        <w:tc>
          <w:tcPr>
            <w:tcW w:w="2429" w:type="dxa"/>
          </w:tcPr>
          <w:p w14:paraId="2FAEEA46" w14:textId="77777777" w:rsidR="00524505" w:rsidRDefault="00524505" w:rsidP="00713B84"/>
        </w:tc>
      </w:tr>
      <w:tr w:rsidR="00524505" w14:paraId="327AC740" w14:textId="77777777" w:rsidTr="006A5F15">
        <w:tc>
          <w:tcPr>
            <w:tcW w:w="2642" w:type="dxa"/>
          </w:tcPr>
          <w:p w14:paraId="1BEFEEA8" w14:textId="77777777" w:rsidR="00524505" w:rsidRDefault="00524505" w:rsidP="00713B84"/>
        </w:tc>
        <w:tc>
          <w:tcPr>
            <w:tcW w:w="2703" w:type="dxa"/>
          </w:tcPr>
          <w:p w14:paraId="5EA375D4" w14:textId="2C739B97" w:rsidR="00524505" w:rsidRDefault="00524505" w:rsidP="00713B84">
            <w:r>
              <w:t>Lesbians</w:t>
            </w:r>
          </w:p>
        </w:tc>
        <w:tc>
          <w:tcPr>
            <w:tcW w:w="1880" w:type="dxa"/>
          </w:tcPr>
          <w:p w14:paraId="3FEC2058" w14:textId="77777777" w:rsidR="00524505" w:rsidRDefault="00524505" w:rsidP="00713B84"/>
        </w:tc>
        <w:tc>
          <w:tcPr>
            <w:tcW w:w="2835" w:type="dxa"/>
          </w:tcPr>
          <w:p w14:paraId="6A2FD8D9" w14:textId="19E41338" w:rsidR="00524505" w:rsidRDefault="00524505" w:rsidP="00713B84">
            <w:pPr>
              <w:jc w:val="center"/>
            </w:pPr>
            <w:r w:rsidRPr="006A5F15">
              <w:t>No known impact</w:t>
            </w:r>
          </w:p>
        </w:tc>
        <w:tc>
          <w:tcPr>
            <w:tcW w:w="2071" w:type="dxa"/>
          </w:tcPr>
          <w:p w14:paraId="60A1955A" w14:textId="4F5AD1CF" w:rsidR="00524505" w:rsidRDefault="00524505" w:rsidP="00713B84"/>
        </w:tc>
        <w:tc>
          <w:tcPr>
            <w:tcW w:w="2429" w:type="dxa"/>
          </w:tcPr>
          <w:p w14:paraId="31EB7F2E" w14:textId="77777777" w:rsidR="00524505" w:rsidRDefault="00524505" w:rsidP="00713B84"/>
        </w:tc>
      </w:tr>
      <w:tr w:rsidR="00713B84" w14:paraId="031C103F" w14:textId="77777777" w:rsidTr="006A5F15">
        <w:tc>
          <w:tcPr>
            <w:tcW w:w="2642" w:type="dxa"/>
          </w:tcPr>
          <w:p w14:paraId="39780D56" w14:textId="40CB56DB" w:rsidR="00713B84" w:rsidRDefault="00713B84" w:rsidP="00713B84">
            <w:r>
              <w:t>Pregnancy and Maternity</w:t>
            </w:r>
          </w:p>
        </w:tc>
        <w:tc>
          <w:tcPr>
            <w:tcW w:w="2703" w:type="dxa"/>
          </w:tcPr>
          <w:p w14:paraId="4DA47076" w14:textId="7F3349EE" w:rsidR="00713B84" w:rsidRDefault="00713B84" w:rsidP="00713B84">
            <w:r>
              <w:t>Women</w:t>
            </w:r>
          </w:p>
        </w:tc>
        <w:tc>
          <w:tcPr>
            <w:tcW w:w="1880" w:type="dxa"/>
          </w:tcPr>
          <w:p w14:paraId="387B3F00" w14:textId="77777777" w:rsidR="00713B84" w:rsidRDefault="00713B84" w:rsidP="00713B84"/>
        </w:tc>
        <w:tc>
          <w:tcPr>
            <w:tcW w:w="2835" w:type="dxa"/>
          </w:tcPr>
          <w:p w14:paraId="68A2A6A1" w14:textId="75F7D45B" w:rsidR="006A5F15" w:rsidRPr="006A5F15" w:rsidRDefault="006A5F15" w:rsidP="006A5F15">
            <w:pPr>
              <w:jc w:val="center"/>
            </w:pPr>
            <w:r w:rsidRPr="006A5F15">
              <w:t>No known impact</w:t>
            </w:r>
          </w:p>
          <w:p w14:paraId="7021C4F5" w14:textId="76DC73EC" w:rsidR="00713B84" w:rsidRDefault="00713B84" w:rsidP="00713B84">
            <w:pPr>
              <w:jc w:val="center"/>
            </w:pPr>
          </w:p>
        </w:tc>
        <w:tc>
          <w:tcPr>
            <w:tcW w:w="2071" w:type="dxa"/>
          </w:tcPr>
          <w:p w14:paraId="6B2CBE8F" w14:textId="18BB9A79" w:rsidR="00713B84" w:rsidRDefault="00713B84" w:rsidP="00713B84"/>
        </w:tc>
        <w:tc>
          <w:tcPr>
            <w:tcW w:w="2429" w:type="dxa"/>
          </w:tcPr>
          <w:p w14:paraId="2E9772CE" w14:textId="77777777" w:rsidR="00713B84" w:rsidRDefault="00713B84" w:rsidP="00713B84"/>
        </w:tc>
      </w:tr>
      <w:tr w:rsidR="00713B84" w14:paraId="6DDC4ED1" w14:textId="77777777" w:rsidTr="006A5F15">
        <w:tc>
          <w:tcPr>
            <w:tcW w:w="2642" w:type="dxa"/>
          </w:tcPr>
          <w:p w14:paraId="684760E8" w14:textId="0B27846D" w:rsidR="00713B84" w:rsidRDefault="00713B84" w:rsidP="00713B84">
            <w:r>
              <w:t>Religion and belief</w:t>
            </w:r>
          </w:p>
        </w:tc>
        <w:tc>
          <w:tcPr>
            <w:tcW w:w="2703" w:type="dxa"/>
          </w:tcPr>
          <w:p w14:paraId="155D9C8B" w14:textId="2F4201C9" w:rsidR="00713B84" w:rsidRDefault="00713B84" w:rsidP="00713B84">
            <w:r>
              <w:t>See below</w:t>
            </w:r>
          </w:p>
        </w:tc>
        <w:tc>
          <w:tcPr>
            <w:tcW w:w="1880" w:type="dxa"/>
          </w:tcPr>
          <w:p w14:paraId="434B486D" w14:textId="77777777" w:rsidR="00713B84" w:rsidRDefault="00713B84" w:rsidP="00713B84"/>
        </w:tc>
        <w:tc>
          <w:tcPr>
            <w:tcW w:w="2835" w:type="dxa"/>
          </w:tcPr>
          <w:p w14:paraId="0DA9B060" w14:textId="5DC1FC45" w:rsidR="006A5F15" w:rsidRPr="006A5F15" w:rsidRDefault="006A5F15" w:rsidP="006A5F15">
            <w:pPr>
              <w:jc w:val="center"/>
            </w:pPr>
            <w:r w:rsidRPr="006A5F15">
              <w:t>No known impact</w:t>
            </w:r>
          </w:p>
          <w:p w14:paraId="64107008" w14:textId="42DF5AC3" w:rsidR="00713B84" w:rsidRDefault="00713B84" w:rsidP="00713B84">
            <w:pPr>
              <w:jc w:val="center"/>
            </w:pPr>
          </w:p>
        </w:tc>
        <w:tc>
          <w:tcPr>
            <w:tcW w:w="2071" w:type="dxa"/>
          </w:tcPr>
          <w:p w14:paraId="3A2665D3" w14:textId="124E61F3" w:rsidR="00713B84" w:rsidRDefault="00713B84" w:rsidP="00713B84"/>
        </w:tc>
        <w:tc>
          <w:tcPr>
            <w:tcW w:w="2429" w:type="dxa"/>
          </w:tcPr>
          <w:p w14:paraId="6E1D1C87" w14:textId="77777777" w:rsidR="00713B84" w:rsidRDefault="00713B84" w:rsidP="00713B84"/>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2F97E5CC" w14:textId="67F9FE72" w:rsidR="00236930" w:rsidRDefault="006A5F15" w:rsidP="00236930">
            <w:r>
              <w:t>NA</w:t>
            </w:r>
          </w:p>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1F696BD1" w:rsidR="00236930" w:rsidRDefault="006A5F15" w:rsidP="00236930">
            <w:r>
              <w:t>NA</w:t>
            </w:r>
          </w:p>
        </w:tc>
      </w:tr>
      <w:tr w:rsidR="00236930" w14:paraId="3F56348C" w14:textId="77777777" w:rsidTr="00484FE3">
        <w:tc>
          <w:tcPr>
            <w:tcW w:w="4106" w:type="dxa"/>
            <w:shd w:val="clear" w:color="auto" w:fill="E7E6E6" w:themeFill="background2"/>
          </w:tcPr>
          <w:p w14:paraId="5AB4F18D" w14:textId="01C71C0E" w:rsidR="00236930" w:rsidRDefault="00236930" w:rsidP="00236930">
            <w:r>
              <w:t>Summary of Human Rights impacts</w:t>
            </w:r>
          </w:p>
          <w:p w14:paraId="4BE0B406" w14:textId="64BCC6C4" w:rsidR="00236930" w:rsidRDefault="00236930" w:rsidP="00236930"/>
        </w:tc>
        <w:tc>
          <w:tcPr>
            <w:tcW w:w="10490" w:type="dxa"/>
          </w:tcPr>
          <w:p w14:paraId="06672DD7" w14:textId="599B670C" w:rsidR="00236930" w:rsidRDefault="006A5F15" w:rsidP="00236930">
            <w:r>
              <w:t>NA</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0F63B1CD" w:rsidR="002A1955" w:rsidRDefault="006A5F15" w:rsidP="00EE0E55">
            <w:r>
              <w:t>NA</w:t>
            </w:r>
          </w:p>
        </w:tc>
      </w:tr>
    </w:tbl>
    <w:p w14:paraId="0C2E55FB" w14:textId="77777777" w:rsidR="00F85A90" w:rsidRDefault="00F85A90" w:rsidP="00F85A90">
      <w:pPr>
        <w:pStyle w:val="Heading2"/>
      </w:pPr>
      <w:bookmarkStart w:id="5" w:name="_Toc167112759"/>
      <w:bookmarkEnd w:id="4"/>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5E213301" w:rsidR="00383B0B" w:rsidRDefault="006A5F15" w:rsidP="00383B0B">
            <w:r>
              <w:t>NA</w:t>
            </w:r>
          </w:p>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59231269" w14:textId="77777777" w:rsidR="006A5F15" w:rsidRPr="00A952C5" w:rsidRDefault="006A5F15" w:rsidP="006A5F15">
            <w:r w:rsidRPr="00A952C5">
              <w:t>Ongoing to evaluate the service to ensure that it satisfies the needs and requirements of its customers.</w:t>
            </w:r>
          </w:p>
          <w:p w14:paraId="66DBB4A0" w14:textId="77777777" w:rsidR="00AE6E4F" w:rsidRDefault="00AE6E4F" w:rsidP="00EE0E55"/>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703B7A9B" w:rsidR="00AE6E4F" w:rsidRDefault="00906E2B"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w:t>
            </w:r>
            <w:r w:rsidR="006A5F15">
              <w:rPr>
                <w:rFonts w:eastAsia="Times New Roman" w:cs="Times New Roman"/>
                <w:kern w:val="0"/>
                <w:sz w:val="22"/>
                <w:lang w:val="en-US"/>
                <w14:ligatures w14:val="none"/>
              </w:rPr>
              <w:t xml:space="preserve"> 2024</w:t>
            </w: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092875CA" w:rsidR="00AE6E4F" w:rsidRDefault="00906E2B"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w:t>
            </w:r>
            <w:r w:rsidR="006A5F15">
              <w:rPr>
                <w:rFonts w:eastAsia="Times New Roman" w:cs="Times New Roman"/>
                <w:kern w:val="0"/>
                <w:sz w:val="22"/>
                <w:lang w:val="en-US"/>
                <w14:ligatures w14:val="none"/>
              </w:rPr>
              <w:t xml:space="preserve"> 2025</w:t>
            </w:r>
          </w:p>
          <w:p w14:paraId="1EE5C424" w14:textId="3A2A437C" w:rsidR="00AE6E4F" w:rsidRPr="00AE6E4F" w:rsidRDefault="00AE6E4F" w:rsidP="00AE6E4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1E200386" w:rsidR="00383B0B" w:rsidRDefault="00727305" w:rsidP="00F85A90">
            <w:r>
              <w:t>NA</w:t>
            </w:r>
          </w:p>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3E3DD836" w:rsidR="00383B0B" w:rsidRDefault="00727305" w:rsidP="00F85A90">
            <w:r>
              <w:t>NA</w:t>
            </w:r>
          </w:p>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1"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7"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2"/>
  </w:num>
  <w:num w:numId="4" w16cid:durableId="1668091473">
    <w:abstractNumId w:val="21"/>
  </w:num>
  <w:num w:numId="5" w16cid:durableId="905144847">
    <w:abstractNumId w:val="5"/>
  </w:num>
  <w:num w:numId="6" w16cid:durableId="74210457">
    <w:abstractNumId w:val="4"/>
  </w:num>
  <w:num w:numId="7" w16cid:durableId="499851705">
    <w:abstractNumId w:val="0"/>
  </w:num>
  <w:num w:numId="8" w16cid:durableId="1487211395">
    <w:abstractNumId w:val="20"/>
  </w:num>
  <w:num w:numId="9" w16cid:durableId="376784684">
    <w:abstractNumId w:val="8"/>
  </w:num>
  <w:num w:numId="10" w16cid:durableId="1302346234">
    <w:abstractNumId w:val="24"/>
  </w:num>
  <w:num w:numId="11" w16cid:durableId="59597926">
    <w:abstractNumId w:val="19"/>
  </w:num>
  <w:num w:numId="12" w16cid:durableId="810829194">
    <w:abstractNumId w:val="3"/>
  </w:num>
  <w:num w:numId="13" w16cid:durableId="1653831862">
    <w:abstractNumId w:val="6"/>
  </w:num>
  <w:num w:numId="14" w16cid:durableId="268856396">
    <w:abstractNumId w:val="18"/>
  </w:num>
  <w:num w:numId="15" w16cid:durableId="769853231">
    <w:abstractNumId w:val="17"/>
  </w:num>
  <w:num w:numId="16" w16cid:durableId="1567494817">
    <w:abstractNumId w:val="22"/>
  </w:num>
  <w:num w:numId="17" w16cid:durableId="314722523">
    <w:abstractNumId w:val="9"/>
  </w:num>
  <w:num w:numId="18" w16cid:durableId="312682986">
    <w:abstractNumId w:val="16"/>
  </w:num>
  <w:num w:numId="19" w16cid:durableId="1152989405">
    <w:abstractNumId w:val="25"/>
  </w:num>
  <w:num w:numId="20" w16cid:durableId="1327397278">
    <w:abstractNumId w:val="10"/>
  </w:num>
  <w:num w:numId="21" w16cid:durableId="865606008">
    <w:abstractNumId w:val="23"/>
  </w:num>
  <w:num w:numId="22" w16cid:durableId="472069081">
    <w:abstractNumId w:val="11"/>
  </w:num>
  <w:num w:numId="23" w16cid:durableId="525099300">
    <w:abstractNumId w:val="13"/>
  </w:num>
  <w:num w:numId="24" w16cid:durableId="1589536094">
    <w:abstractNumId w:val="14"/>
  </w:num>
  <w:num w:numId="25" w16cid:durableId="1395738368">
    <w:abstractNumId w:val="15"/>
  </w:num>
  <w:num w:numId="26" w16cid:durableId="145948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92104"/>
    <w:rsid w:val="000F7582"/>
    <w:rsid w:val="00126205"/>
    <w:rsid w:val="001E0ADF"/>
    <w:rsid w:val="00233A25"/>
    <w:rsid w:val="00236930"/>
    <w:rsid w:val="002A1955"/>
    <w:rsid w:val="002F602A"/>
    <w:rsid w:val="003169C4"/>
    <w:rsid w:val="00383B0B"/>
    <w:rsid w:val="003D5A86"/>
    <w:rsid w:val="0042352C"/>
    <w:rsid w:val="00483F7B"/>
    <w:rsid w:val="00484FE3"/>
    <w:rsid w:val="004D02B7"/>
    <w:rsid w:val="004E6CFD"/>
    <w:rsid w:val="00524505"/>
    <w:rsid w:val="005316D0"/>
    <w:rsid w:val="005334F9"/>
    <w:rsid w:val="00540194"/>
    <w:rsid w:val="00554750"/>
    <w:rsid w:val="00580F40"/>
    <w:rsid w:val="005A0185"/>
    <w:rsid w:val="005B726B"/>
    <w:rsid w:val="005C7954"/>
    <w:rsid w:val="0067678F"/>
    <w:rsid w:val="00695B8E"/>
    <w:rsid w:val="006A5F15"/>
    <w:rsid w:val="006A7EC7"/>
    <w:rsid w:val="006D378A"/>
    <w:rsid w:val="00713B84"/>
    <w:rsid w:val="00727305"/>
    <w:rsid w:val="00737374"/>
    <w:rsid w:val="007E4493"/>
    <w:rsid w:val="00906E2B"/>
    <w:rsid w:val="00933FF8"/>
    <w:rsid w:val="009664BB"/>
    <w:rsid w:val="009A2ABD"/>
    <w:rsid w:val="009D2978"/>
    <w:rsid w:val="009E55B4"/>
    <w:rsid w:val="009F3688"/>
    <w:rsid w:val="00A4363E"/>
    <w:rsid w:val="00A96796"/>
    <w:rsid w:val="00AE6E4F"/>
    <w:rsid w:val="00B62A71"/>
    <w:rsid w:val="00B82EF2"/>
    <w:rsid w:val="00B90269"/>
    <w:rsid w:val="00C01148"/>
    <w:rsid w:val="00CD0CD8"/>
    <w:rsid w:val="00D6047D"/>
    <w:rsid w:val="00D74B2A"/>
    <w:rsid w:val="00DE0479"/>
    <w:rsid w:val="00E02321"/>
    <w:rsid w:val="00EE0E55"/>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2.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3.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4.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1461</Words>
  <Characters>8331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2025-01-07T09:31:00Z</dcterms:created>
  <dcterms:modified xsi:type="dcterms:W3CDTF">2025-01-07T09:31:00Z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