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2093D2B5" w14:textId="77777777" w:rsidR="00832CD4" w:rsidRDefault="00832CD4" w:rsidP="00832CD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Council Tax Support</w:t>
            </w:r>
          </w:p>
          <w:p w14:paraId="62072745" w14:textId="77777777" w:rsidR="00832CD4" w:rsidRDefault="00832CD4" w:rsidP="00832CD4">
            <w:pPr>
              <w:rPr>
                <w:b/>
                <w:szCs w:val="24"/>
              </w:rPr>
            </w:pPr>
            <w:r>
              <w:rPr>
                <w:sz w:val="20"/>
                <w:szCs w:val="20"/>
              </w:rPr>
              <w:t>To administer Council Tax Support in accordance with the Council’s local scheme.</w:t>
            </w:r>
          </w:p>
          <w:p w14:paraId="50F4E6D0" w14:textId="26766CE4" w:rsidR="000F363D" w:rsidRDefault="000F363D" w:rsidP="00832CD4"/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47230256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2FA7AC8F" w:rsidR="001E0ADF" w:rsidRDefault="00222E62" w:rsidP="009D2978">
            <w:pPr>
              <w:pStyle w:val="BodyText"/>
              <w:spacing w:before="0"/>
              <w:ind w:left="0"/>
            </w:pPr>
            <w:proofErr w:type="gramStart"/>
            <w:r>
              <w:rPr>
                <w:sz w:val="20"/>
                <w:szCs w:val="20"/>
              </w:rPr>
              <w:t>The majority of</w:t>
            </w:r>
            <w:proofErr w:type="gramEnd"/>
            <w:r>
              <w:rPr>
                <w:sz w:val="20"/>
                <w:szCs w:val="20"/>
              </w:rPr>
              <w:t xml:space="preserve"> the service we provide is governed by legislation and regulations.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policies and procedures we work to are reviewed regularly to ensure they are </w:t>
            </w:r>
            <w:proofErr w:type="gramStart"/>
            <w:r>
              <w:rPr>
                <w:sz w:val="20"/>
                <w:szCs w:val="20"/>
              </w:rPr>
              <w:t>fair</w:t>
            </w:r>
            <w:proofErr w:type="gramEnd"/>
            <w:r>
              <w:rPr>
                <w:sz w:val="20"/>
                <w:szCs w:val="20"/>
              </w:rPr>
              <w:t xml:space="preserve"> and we welcome feedback from customers and take appropriate action where necessary through our 3c’s department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10EAB4F9" w14:textId="77777777" w:rsidR="001E0ADF" w:rsidRDefault="00222E62" w:rsidP="009D2978">
            <w:pPr>
              <w:pStyle w:val="BodyText"/>
              <w:spacing w:before="0"/>
              <w:ind w:left="0"/>
            </w:pPr>
            <w:r>
              <w:t xml:space="preserve">Andrew Rose 19.03.2025 </w:t>
            </w:r>
          </w:p>
          <w:p w14:paraId="6A980B42" w14:textId="172D6BC2" w:rsidR="00222E62" w:rsidRDefault="00222E62" w:rsidP="009D2978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448BA6E7" wp14:editId="39CA926E">
                  <wp:extent cx="906780" cy="594360"/>
                  <wp:effectExtent l="0" t="0" r="7620" b="0"/>
                  <wp:docPr id="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 xml:space="preserve">consultation has been completed, please note the </w:t>
            </w:r>
            <w:r w:rsidRPr="001E0ADF">
              <w:rPr>
                <w:b/>
                <w:bCs/>
              </w:rPr>
              <w:lastRenderedPageBreak/>
              <w:t>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lastRenderedPageBreak/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222E62" w14:paraId="60766B0B" w14:textId="77777777" w:rsidTr="00713B84">
        <w:tc>
          <w:tcPr>
            <w:tcW w:w="2642" w:type="dxa"/>
          </w:tcPr>
          <w:p w14:paraId="3341862C" w14:textId="05457808" w:rsidR="00222E62" w:rsidRDefault="00222E62" w:rsidP="00222E62">
            <w:r>
              <w:t>Race</w:t>
            </w:r>
          </w:p>
        </w:tc>
        <w:tc>
          <w:tcPr>
            <w:tcW w:w="2703" w:type="dxa"/>
          </w:tcPr>
          <w:p w14:paraId="73C50F30" w14:textId="0E7AFFD9" w:rsidR="00222E62" w:rsidRDefault="00222E62" w:rsidP="00222E62">
            <w:r>
              <w:t xml:space="preserve">White </w:t>
            </w:r>
          </w:p>
        </w:tc>
        <w:tc>
          <w:tcPr>
            <w:tcW w:w="2320" w:type="dxa"/>
          </w:tcPr>
          <w:p w14:paraId="69E49008" w14:textId="4B72AC2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30100EEB" w14:textId="408627E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0767CD2" w14:textId="13333F4C" w:rsidR="00222E62" w:rsidRDefault="00222E62" w:rsidP="00222E62"/>
        </w:tc>
        <w:tc>
          <w:tcPr>
            <w:tcW w:w="2429" w:type="dxa"/>
          </w:tcPr>
          <w:p w14:paraId="5C9F25B5" w14:textId="77777777" w:rsidR="00222E62" w:rsidRDefault="00222E62" w:rsidP="00222E62"/>
        </w:tc>
      </w:tr>
      <w:tr w:rsidR="00222E62" w14:paraId="0FB9C5E0" w14:textId="77777777" w:rsidTr="00713B84">
        <w:tc>
          <w:tcPr>
            <w:tcW w:w="2642" w:type="dxa"/>
          </w:tcPr>
          <w:p w14:paraId="0CBFDD78" w14:textId="77777777" w:rsidR="00222E62" w:rsidRDefault="00222E62" w:rsidP="00222E62"/>
        </w:tc>
        <w:tc>
          <w:tcPr>
            <w:tcW w:w="2703" w:type="dxa"/>
          </w:tcPr>
          <w:p w14:paraId="379FF213" w14:textId="512F6CDA" w:rsidR="00222E62" w:rsidRDefault="00222E62" w:rsidP="00222E62">
            <w:r>
              <w:t>Mixed or Multiple Ethnic Groups</w:t>
            </w:r>
          </w:p>
        </w:tc>
        <w:tc>
          <w:tcPr>
            <w:tcW w:w="2320" w:type="dxa"/>
          </w:tcPr>
          <w:p w14:paraId="0E16A68F" w14:textId="0943D09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B6B151C" w14:textId="75B5D57B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160085C2" w14:textId="7EDF6678" w:rsidR="00222E62" w:rsidRDefault="00222E62" w:rsidP="00222E62"/>
        </w:tc>
        <w:tc>
          <w:tcPr>
            <w:tcW w:w="2429" w:type="dxa"/>
          </w:tcPr>
          <w:p w14:paraId="2D1813BB" w14:textId="77777777" w:rsidR="00222E62" w:rsidRDefault="00222E62" w:rsidP="00222E62"/>
        </w:tc>
      </w:tr>
      <w:tr w:rsidR="00222E62" w14:paraId="6E71CA62" w14:textId="77777777" w:rsidTr="00713B84">
        <w:tc>
          <w:tcPr>
            <w:tcW w:w="2642" w:type="dxa"/>
          </w:tcPr>
          <w:p w14:paraId="1028A893" w14:textId="77777777" w:rsidR="00222E62" w:rsidRDefault="00222E62" w:rsidP="00222E62"/>
        </w:tc>
        <w:tc>
          <w:tcPr>
            <w:tcW w:w="2703" w:type="dxa"/>
          </w:tcPr>
          <w:p w14:paraId="02D7D95C" w14:textId="7EA2E142" w:rsidR="00222E62" w:rsidRDefault="00222E62" w:rsidP="00222E62">
            <w:r>
              <w:t>Asian</w:t>
            </w:r>
          </w:p>
        </w:tc>
        <w:tc>
          <w:tcPr>
            <w:tcW w:w="2320" w:type="dxa"/>
          </w:tcPr>
          <w:p w14:paraId="2DBA5C9D" w14:textId="09A67BC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02A00B73" w14:textId="5BCBC69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617FC3BC" w14:textId="309FEEFC" w:rsidR="00222E62" w:rsidRDefault="00222E62" w:rsidP="00222E62"/>
        </w:tc>
        <w:tc>
          <w:tcPr>
            <w:tcW w:w="2429" w:type="dxa"/>
          </w:tcPr>
          <w:p w14:paraId="7D84E5D3" w14:textId="77777777" w:rsidR="00222E62" w:rsidRDefault="00222E62" w:rsidP="00222E62"/>
        </w:tc>
      </w:tr>
      <w:tr w:rsidR="00222E62" w14:paraId="0B7047EF" w14:textId="77777777" w:rsidTr="00713B84">
        <w:tc>
          <w:tcPr>
            <w:tcW w:w="2642" w:type="dxa"/>
          </w:tcPr>
          <w:p w14:paraId="2777AE8C" w14:textId="77777777" w:rsidR="00222E62" w:rsidRDefault="00222E62" w:rsidP="00222E62"/>
        </w:tc>
        <w:tc>
          <w:tcPr>
            <w:tcW w:w="2703" w:type="dxa"/>
          </w:tcPr>
          <w:p w14:paraId="356FFB7D" w14:textId="354A3756" w:rsidR="00222E62" w:rsidRDefault="00222E62" w:rsidP="00222E62">
            <w:r>
              <w:t>African</w:t>
            </w:r>
          </w:p>
        </w:tc>
        <w:tc>
          <w:tcPr>
            <w:tcW w:w="2320" w:type="dxa"/>
          </w:tcPr>
          <w:p w14:paraId="240FC0F4" w14:textId="52E6BD2F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78A42B4" w14:textId="338E994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B6A229E" w14:textId="3372D60B" w:rsidR="00222E62" w:rsidRDefault="00222E62" w:rsidP="00222E62"/>
        </w:tc>
        <w:tc>
          <w:tcPr>
            <w:tcW w:w="2429" w:type="dxa"/>
          </w:tcPr>
          <w:p w14:paraId="01BEAFF0" w14:textId="77777777" w:rsidR="00222E62" w:rsidRDefault="00222E62" w:rsidP="00222E62"/>
        </w:tc>
      </w:tr>
      <w:tr w:rsidR="00222E62" w14:paraId="03CD8CBC" w14:textId="77777777" w:rsidTr="00713B84">
        <w:tc>
          <w:tcPr>
            <w:tcW w:w="2642" w:type="dxa"/>
          </w:tcPr>
          <w:p w14:paraId="25BAB087" w14:textId="77777777" w:rsidR="00222E62" w:rsidRDefault="00222E62" w:rsidP="00222E62"/>
        </w:tc>
        <w:tc>
          <w:tcPr>
            <w:tcW w:w="2703" w:type="dxa"/>
          </w:tcPr>
          <w:p w14:paraId="0612E245" w14:textId="46606654" w:rsidR="00222E62" w:rsidRDefault="00222E62" w:rsidP="00222E62">
            <w:r>
              <w:t>Caribbean or Black</w:t>
            </w:r>
          </w:p>
        </w:tc>
        <w:tc>
          <w:tcPr>
            <w:tcW w:w="2320" w:type="dxa"/>
          </w:tcPr>
          <w:p w14:paraId="1D7F1F86" w14:textId="78F489A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BAE5336" w14:textId="0099F289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0E922D6" w14:textId="61F1FE1C" w:rsidR="00222E62" w:rsidRDefault="00222E62" w:rsidP="00222E62"/>
        </w:tc>
        <w:tc>
          <w:tcPr>
            <w:tcW w:w="2429" w:type="dxa"/>
          </w:tcPr>
          <w:p w14:paraId="7AEA2655" w14:textId="77777777" w:rsidR="00222E62" w:rsidRDefault="00222E62" w:rsidP="00222E62"/>
        </w:tc>
      </w:tr>
      <w:tr w:rsidR="00222E62" w14:paraId="381A2A74" w14:textId="77777777" w:rsidTr="00713B84">
        <w:tc>
          <w:tcPr>
            <w:tcW w:w="2642" w:type="dxa"/>
          </w:tcPr>
          <w:p w14:paraId="75AF0A79" w14:textId="77777777" w:rsidR="00222E62" w:rsidRDefault="00222E62" w:rsidP="00222E62"/>
        </w:tc>
        <w:tc>
          <w:tcPr>
            <w:tcW w:w="2703" w:type="dxa"/>
          </w:tcPr>
          <w:p w14:paraId="5731B9D1" w14:textId="2B5A883D" w:rsidR="00222E62" w:rsidRDefault="00222E62" w:rsidP="00222E62">
            <w:r>
              <w:t>Other Ethnic Group</w:t>
            </w:r>
          </w:p>
        </w:tc>
        <w:tc>
          <w:tcPr>
            <w:tcW w:w="2320" w:type="dxa"/>
          </w:tcPr>
          <w:p w14:paraId="29B27C7D" w14:textId="5851430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091EE0D" w14:textId="2CFA33C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F5EA106" w14:textId="01E530E8" w:rsidR="00222E62" w:rsidRDefault="00222E62" w:rsidP="00222E62"/>
        </w:tc>
        <w:tc>
          <w:tcPr>
            <w:tcW w:w="2429" w:type="dxa"/>
          </w:tcPr>
          <w:p w14:paraId="2C544650" w14:textId="77777777" w:rsidR="00222E62" w:rsidRDefault="00222E62" w:rsidP="00222E62"/>
        </w:tc>
      </w:tr>
      <w:tr w:rsidR="00222E62" w14:paraId="0A38FDB3" w14:textId="77777777" w:rsidTr="00713B84">
        <w:tc>
          <w:tcPr>
            <w:tcW w:w="2642" w:type="dxa"/>
          </w:tcPr>
          <w:p w14:paraId="7E05F785" w14:textId="1EA7A894" w:rsidR="00222E62" w:rsidRDefault="00222E62" w:rsidP="00222E62">
            <w:bookmarkStart w:id="4" w:name="_Hlk193277869"/>
            <w:r>
              <w:t>Disability</w:t>
            </w:r>
          </w:p>
        </w:tc>
        <w:tc>
          <w:tcPr>
            <w:tcW w:w="2703" w:type="dxa"/>
          </w:tcPr>
          <w:p w14:paraId="45F5B522" w14:textId="10261685" w:rsidR="00222E62" w:rsidRDefault="00222E62" w:rsidP="00222E62">
            <w:r>
              <w:t>Physical disability</w:t>
            </w:r>
          </w:p>
        </w:tc>
        <w:tc>
          <w:tcPr>
            <w:tcW w:w="2320" w:type="dxa"/>
          </w:tcPr>
          <w:p w14:paraId="7E32B117" w14:textId="0EC21B88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0293983" w14:textId="69659AC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79C0B417" w14:textId="1B791BB9" w:rsidR="00222E62" w:rsidRDefault="00222E62" w:rsidP="00222E62"/>
        </w:tc>
        <w:tc>
          <w:tcPr>
            <w:tcW w:w="2429" w:type="dxa"/>
          </w:tcPr>
          <w:p w14:paraId="70C9D68E" w14:textId="77777777" w:rsidR="00222E62" w:rsidRDefault="00222E62" w:rsidP="00222E62"/>
        </w:tc>
      </w:tr>
      <w:tr w:rsidR="00222E62" w14:paraId="2754F896" w14:textId="77777777" w:rsidTr="00713B84">
        <w:tc>
          <w:tcPr>
            <w:tcW w:w="2642" w:type="dxa"/>
          </w:tcPr>
          <w:p w14:paraId="478BEF29" w14:textId="77777777" w:rsidR="00222E62" w:rsidRDefault="00222E62" w:rsidP="00222E62"/>
        </w:tc>
        <w:tc>
          <w:tcPr>
            <w:tcW w:w="2703" w:type="dxa"/>
          </w:tcPr>
          <w:p w14:paraId="5E62D614" w14:textId="368B41FA" w:rsidR="00222E62" w:rsidRDefault="00222E62" w:rsidP="00222E62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53027757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E290BF1" w14:textId="386081F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97B0325" w14:textId="63340823" w:rsidR="00222E62" w:rsidRDefault="00222E62" w:rsidP="00222E62"/>
        </w:tc>
        <w:tc>
          <w:tcPr>
            <w:tcW w:w="2429" w:type="dxa"/>
          </w:tcPr>
          <w:p w14:paraId="4F346008" w14:textId="77777777" w:rsidR="00222E62" w:rsidRDefault="00222E62" w:rsidP="00222E62"/>
        </w:tc>
      </w:tr>
      <w:tr w:rsidR="00222E62" w14:paraId="3AFFCDB4" w14:textId="77777777" w:rsidTr="00713B84">
        <w:tc>
          <w:tcPr>
            <w:tcW w:w="2642" w:type="dxa"/>
          </w:tcPr>
          <w:p w14:paraId="38462805" w14:textId="77777777" w:rsidR="00222E62" w:rsidRDefault="00222E62" w:rsidP="00222E62"/>
        </w:tc>
        <w:tc>
          <w:tcPr>
            <w:tcW w:w="2703" w:type="dxa"/>
          </w:tcPr>
          <w:p w14:paraId="767A07E1" w14:textId="31886DDD" w:rsidR="00222E62" w:rsidRDefault="00222E62" w:rsidP="00222E62">
            <w:r>
              <w:t>Mental health</w:t>
            </w:r>
          </w:p>
        </w:tc>
        <w:tc>
          <w:tcPr>
            <w:tcW w:w="2320" w:type="dxa"/>
          </w:tcPr>
          <w:p w14:paraId="428D2831" w14:textId="601D6D6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746C4B8" w14:textId="4DE72AC4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C4BB78B" w14:textId="47C2CD32" w:rsidR="00222E62" w:rsidRDefault="00222E62" w:rsidP="00222E62"/>
        </w:tc>
        <w:tc>
          <w:tcPr>
            <w:tcW w:w="2429" w:type="dxa"/>
          </w:tcPr>
          <w:p w14:paraId="3FCD1DDF" w14:textId="77777777" w:rsidR="00222E62" w:rsidRDefault="00222E62" w:rsidP="00222E62"/>
        </w:tc>
      </w:tr>
      <w:tr w:rsidR="00222E62" w14:paraId="1B61160E" w14:textId="77777777" w:rsidTr="00713B84">
        <w:tc>
          <w:tcPr>
            <w:tcW w:w="2642" w:type="dxa"/>
          </w:tcPr>
          <w:p w14:paraId="72657B66" w14:textId="77777777" w:rsidR="00222E62" w:rsidRDefault="00222E62" w:rsidP="00222E62"/>
        </w:tc>
        <w:tc>
          <w:tcPr>
            <w:tcW w:w="2703" w:type="dxa"/>
          </w:tcPr>
          <w:p w14:paraId="3A3BEC7E" w14:textId="181F8590" w:rsidR="00222E62" w:rsidRDefault="00222E62" w:rsidP="00222E62">
            <w:r>
              <w:t>Learning disability</w:t>
            </w:r>
          </w:p>
        </w:tc>
        <w:tc>
          <w:tcPr>
            <w:tcW w:w="2320" w:type="dxa"/>
          </w:tcPr>
          <w:p w14:paraId="27EC821B" w14:textId="06C932E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8D25F00" w14:textId="6FB3559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748019A" w14:textId="50C7B75E" w:rsidR="00222E62" w:rsidRDefault="00222E62" w:rsidP="00222E62"/>
        </w:tc>
        <w:tc>
          <w:tcPr>
            <w:tcW w:w="2429" w:type="dxa"/>
          </w:tcPr>
          <w:p w14:paraId="607248D6" w14:textId="77777777" w:rsidR="00222E62" w:rsidRDefault="00222E62" w:rsidP="00222E62"/>
        </w:tc>
      </w:tr>
      <w:bookmarkEnd w:id="4"/>
      <w:tr w:rsidR="00222E62" w14:paraId="6BEA0620" w14:textId="77777777" w:rsidTr="00713B84">
        <w:tc>
          <w:tcPr>
            <w:tcW w:w="2642" w:type="dxa"/>
          </w:tcPr>
          <w:p w14:paraId="210F5A3B" w14:textId="05DF5078" w:rsidR="00222E62" w:rsidRDefault="00222E62" w:rsidP="00222E62">
            <w:r>
              <w:t>LGBT</w:t>
            </w:r>
          </w:p>
        </w:tc>
        <w:tc>
          <w:tcPr>
            <w:tcW w:w="2703" w:type="dxa"/>
          </w:tcPr>
          <w:p w14:paraId="6505520A" w14:textId="249E4FC6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182923D9" w14:textId="77777777" w:rsidR="00222E62" w:rsidRDefault="00222E62" w:rsidP="00222E62"/>
        </w:tc>
        <w:tc>
          <w:tcPr>
            <w:tcW w:w="2100" w:type="dxa"/>
          </w:tcPr>
          <w:p w14:paraId="7EC2D735" w14:textId="457177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222E62" w:rsidRDefault="00222E62" w:rsidP="00222E62"/>
        </w:tc>
        <w:tc>
          <w:tcPr>
            <w:tcW w:w="2429" w:type="dxa"/>
          </w:tcPr>
          <w:p w14:paraId="28F8CD55" w14:textId="77777777" w:rsidR="00222E62" w:rsidRDefault="00222E62" w:rsidP="00222E62"/>
        </w:tc>
      </w:tr>
      <w:tr w:rsidR="00222E62" w14:paraId="3FB3D175" w14:textId="77777777" w:rsidTr="00713B84">
        <w:tc>
          <w:tcPr>
            <w:tcW w:w="2642" w:type="dxa"/>
          </w:tcPr>
          <w:p w14:paraId="1CF8367B" w14:textId="77777777" w:rsidR="00222E62" w:rsidRDefault="00222E62" w:rsidP="00222E62"/>
        </w:tc>
        <w:tc>
          <w:tcPr>
            <w:tcW w:w="2703" w:type="dxa"/>
          </w:tcPr>
          <w:p w14:paraId="794ED908" w14:textId="2452D9CD" w:rsidR="00222E62" w:rsidRDefault="00222E62" w:rsidP="00222E62">
            <w:r>
              <w:t>Gay Men</w:t>
            </w:r>
          </w:p>
        </w:tc>
        <w:tc>
          <w:tcPr>
            <w:tcW w:w="2320" w:type="dxa"/>
          </w:tcPr>
          <w:p w14:paraId="60E90BA1" w14:textId="77777777" w:rsidR="00222E62" w:rsidRDefault="00222E62" w:rsidP="00222E62"/>
        </w:tc>
        <w:tc>
          <w:tcPr>
            <w:tcW w:w="2100" w:type="dxa"/>
          </w:tcPr>
          <w:p w14:paraId="0C17B9AB" w14:textId="2D11349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222E62" w:rsidRDefault="00222E62" w:rsidP="00222E62"/>
        </w:tc>
        <w:tc>
          <w:tcPr>
            <w:tcW w:w="2429" w:type="dxa"/>
          </w:tcPr>
          <w:p w14:paraId="4F9FC776" w14:textId="77777777" w:rsidR="00222E62" w:rsidRDefault="00222E62" w:rsidP="00222E62"/>
        </w:tc>
      </w:tr>
      <w:tr w:rsidR="00222E62" w14:paraId="54273A0F" w14:textId="77777777" w:rsidTr="00713B84">
        <w:tc>
          <w:tcPr>
            <w:tcW w:w="2642" w:type="dxa"/>
          </w:tcPr>
          <w:p w14:paraId="3993430D" w14:textId="77777777" w:rsidR="00222E62" w:rsidRDefault="00222E62" w:rsidP="00222E62"/>
        </w:tc>
        <w:tc>
          <w:tcPr>
            <w:tcW w:w="2703" w:type="dxa"/>
          </w:tcPr>
          <w:p w14:paraId="6180103A" w14:textId="2E4D2B51" w:rsidR="00222E62" w:rsidRDefault="00222E62" w:rsidP="00222E62">
            <w:r>
              <w:t>Bisexual</w:t>
            </w:r>
          </w:p>
        </w:tc>
        <w:tc>
          <w:tcPr>
            <w:tcW w:w="2320" w:type="dxa"/>
          </w:tcPr>
          <w:p w14:paraId="08FB7E5B" w14:textId="77777777" w:rsidR="00222E62" w:rsidRDefault="00222E62" w:rsidP="00222E62"/>
        </w:tc>
        <w:tc>
          <w:tcPr>
            <w:tcW w:w="2100" w:type="dxa"/>
          </w:tcPr>
          <w:p w14:paraId="36C88A34" w14:textId="081AE7F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222E62" w:rsidRDefault="00222E62" w:rsidP="00222E62"/>
        </w:tc>
        <w:tc>
          <w:tcPr>
            <w:tcW w:w="2429" w:type="dxa"/>
          </w:tcPr>
          <w:p w14:paraId="163D991A" w14:textId="77777777" w:rsidR="00222E62" w:rsidRDefault="00222E62" w:rsidP="00222E62"/>
        </w:tc>
      </w:tr>
      <w:tr w:rsidR="00222E62" w14:paraId="1E07721A" w14:textId="77777777" w:rsidTr="00713B84">
        <w:tc>
          <w:tcPr>
            <w:tcW w:w="2642" w:type="dxa"/>
          </w:tcPr>
          <w:p w14:paraId="5A725ED7" w14:textId="4F76A7C4" w:rsidR="00222E62" w:rsidRDefault="00222E62" w:rsidP="00222E62">
            <w:r>
              <w:t>Age</w:t>
            </w:r>
          </w:p>
        </w:tc>
        <w:tc>
          <w:tcPr>
            <w:tcW w:w="2703" w:type="dxa"/>
          </w:tcPr>
          <w:p w14:paraId="70AD3758" w14:textId="0A6DE403" w:rsidR="00222E62" w:rsidRDefault="00222E62" w:rsidP="00222E62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222E62" w:rsidRDefault="00222E62" w:rsidP="00222E62"/>
        </w:tc>
        <w:tc>
          <w:tcPr>
            <w:tcW w:w="2100" w:type="dxa"/>
          </w:tcPr>
          <w:p w14:paraId="59653059" w14:textId="0B409152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222E62" w:rsidRDefault="00222E62" w:rsidP="00222E62"/>
        </w:tc>
        <w:tc>
          <w:tcPr>
            <w:tcW w:w="2429" w:type="dxa"/>
          </w:tcPr>
          <w:p w14:paraId="375DA172" w14:textId="77777777" w:rsidR="00222E62" w:rsidRDefault="00222E62" w:rsidP="00222E62"/>
        </w:tc>
      </w:tr>
      <w:tr w:rsidR="00222E62" w14:paraId="0B278962" w14:textId="77777777" w:rsidTr="00713B84">
        <w:tc>
          <w:tcPr>
            <w:tcW w:w="2642" w:type="dxa"/>
          </w:tcPr>
          <w:p w14:paraId="6F08B9EC" w14:textId="77777777" w:rsidR="00222E62" w:rsidRDefault="00222E62" w:rsidP="00222E62"/>
        </w:tc>
        <w:tc>
          <w:tcPr>
            <w:tcW w:w="2703" w:type="dxa"/>
          </w:tcPr>
          <w:p w14:paraId="3CD17D82" w14:textId="4C5CC924" w:rsidR="00222E62" w:rsidRDefault="00222E62" w:rsidP="00222E62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222E62" w:rsidRDefault="00222E62" w:rsidP="00222E62"/>
        </w:tc>
        <w:tc>
          <w:tcPr>
            <w:tcW w:w="2100" w:type="dxa"/>
          </w:tcPr>
          <w:p w14:paraId="0DF9E026" w14:textId="4713B3EE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222E62" w:rsidRDefault="00222E62" w:rsidP="00222E62"/>
        </w:tc>
        <w:tc>
          <w:tcPr>
            <w:tcW w:w="2429" w:type="dxa"/>
          </w:tcPr>
          <w:p w14:paraId="5BE56A30" w14:textId="77777777" w:rsidR="00222E62" w:rsidRDefault="00222E62" w:rsidP="00222E62"/>
        </w:tc>
      </w:tr>
      <w:tr w:rsidR="00222E62" w14:paraId="31406D21" w14:textId="77777777" w:rsidTr="00713B84">
        <w:tc>
          <w:tcPr>
            <w:tcW w:w="2642" w:type="dxa"/>
          </w:tcPr>
          <w:p w14:paraId="13A0A3BA" w14:textId="77777777" w:rsidR="00222E62" w:rsidRDefault="00222E62" w:rsidP="00222E62"/>
        </w:tc>
        <w:tc>
          <w:tcPr>
            <w:tcW w:w="2703" w:type="dxa"/>
          </w:tcPr>
          <w:p w14:paraId="14B5E014" w14:textId="687FF020" w:rsidR="00222E62" w:rsidRDefault="00222E62" w:rsidP="00222E62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222E62" w:rsidRDefault="00222E62" w:rsidP="00222E62"/>
        </w:tc>
        <w:tc>
          <w:tcPr>
            <w:tcW w:w="2100" w:type="dxa"/>
          </w:tcPr>
          <w:p w14:paraId="2DDDC77C" w14:textId="59EA93B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222E62" w:rsidRDefault="00222E62" w:rsidP="00222E62"/>
        </w:tc>
        <w:tc>
          <w:tcPr>
            <w:tcW w:w="2429" w:type="dxa"/>
          </w:tcPr>
          <w:p w14:paraId="251BA973" w14:textId="77777777" w:rsidR="00222E62" w:rsidRDefault="00222E62" w:rsidP="00222E62"/>
        </w:tc>
      </w:tr>
      <w:tr w:rsidR="00222E62" w14:paraId="49C72180" w14:textId="77777777" w:rsidTr="00713B84">
        <w:tc>
          <w:tcPr>
            <w:tcW w:w="2642" w:type="dxa"/>
          </w:tcPr>
          <w:p w14:paraId="371C4C2B" w14:textId="1CC28661" w:rsidR="00222E62" w:rsidRDefault="00222E62" w:rsidP="00222E62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2B6B4D7B" w14:textId="77777777" w:rsidR="00222E62" w:rsidRDefault="00222E62" w:rsidP="00222E62"/>
        </w:tc>
        <w:tc>
          <w:tcPr>
            <w:tcW w:w="2100" w:type="dxa"/>
          </w:tcPr>
          <w:p w14:paraId="75CA658C" w14:textId="1730CC2A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222E62" w:rsidRDefault="00222E62" w:rsidP="00222E62"/>
        </w:tc>
        <w:tc>
          <w:tcPr>
            <w:tcW w:w="2429" w:type="dxa"/>
          </w:tcPr>
          <w:p w14:paraId="59F93DDD" w14:textId="77777777" w:rsidR="00222E62" w:rsidRDefault="00222E62" w:rsidP="00222E62"/>
        </w:tc>
      </w:tr>
      <w:tr w:rsidR="00222E62" w14:paraId="645E5DEA" w14:textId="77777777" w:rsidTr="00713B84">
        <w:tc>
          <w:tcPr>
            <w:tcW w:w="2642" w:type="dxa"/>
          </w:tcPr>
          <w:p w14:paraId="314763CE" w14:textId="77777777" w:rsidR="00222E62" w:rsidRDefault="00222E62" w:rsidP="00222E62"/>
        </w:tc>
        <w:tc>
          <w:tcPr>
            <w:tcW w:w="2703" w:type="dxa"/>
          </w:tcPr>
          <w:p w14:paraId="1ACCACD5" w14:textId="1E1D4E86" w:rsidR="00222E62" w:rsidRDefault="00222E62" w:rsidP="00222E62">
            <w:r>
              <w:t>Men</w:t>
            </w:r>
          </w:p>
        </w:tc>
        <w:tc>
          <w:tcPr>
            <w:tcW w:w="2320" w:type="dxa"/>
          </w:tcPr>
          <w:p w14:paraId="390F166F" w14:textId="77777777" w:rsidR="00222E62" w:rsidRDefault="00222E62" w:rsidP="00222E62"/>
        </w:tc>
        <w:tc>
          <w:tcPr>
            <w:tcW w:w="2100" w:type="dxa"/>
          </w:tcPr>
          <w:p w14:paraId="38E6F9EF" w14:textId="46151916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222E62" w:rsidRDefault="00222E62" w:rsidP="00222E62"/>
        </w:tc>
        <w:tc>
          <w:tcPr>
            <w:tcW w:w="2429" w:type="dxa"/>
          </w:tcPr>
          <w:p w14:paraId="2FAEEA46" w14:textId="77777777" w:rsidR="00222E62" w:rsidRDefault="00222E62" w:rsidP="00222E62"/>
        </w:tc>
      </w:tr>
      <w:tr w:rsidR="00222E62" w14:paraId="327AC740" w14:textId="77777777" w:rsidTr="00713B84">
        <w:tc>
          <w:tcPr>
            <w:tcW w:w="2642" w:type="dxa"/>
          </w:tcPr>
          <w:p w14:paraId="1BEFEEA8" w14:textId="77777777" w:rsidR="00222E62" w:rsidRDefault="00222E62" w:rsidP="00222E62"/>
        </w:tc>
        <w:tc>
          <w:tcPr>
            <w:tcW w:w="2703" w:type="dxa"/>
          </w:tcPr>
          <w:p w14:paraId="5EA375D4" w14:textId="2C739B97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3FEC2058" w14:textId="77777777" w:rsidR="00222E62" w:rsidRDefault="00222E62" w:rsidP="00222E62"/>
        </w:tc>
        <w:tc>
          <w:tcPr>
            <w:tcW w:w="2100" w:type="dxa"/>
          </w:tcPr>
          <w:p w14:paraId="6A2FD8D9" w14:textId="327032D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222E62" w:rsidRDefault="00222E62" w:rsidP="00222E62"/>
        </w:tc>
        <w:tc>
          <w:tcPr>
            <w:tcW w:w="2429" w:type="dxa"/>
          </w:tcPr>
          <w:p w14:paraId="31EB7F2E" w14:textId="77777777" w:rsidR="00222E62" w:rsidRDefault="00222E62" w:rsidP="00222E62"/>
        </w:tc>
      </w:tr>
      <w:tr w:rsidR="00222E62" w14:paraId="031C103F" w14:textId="77777777" w:rsidTr="00713B84">
        <w:tc>
          <w:tcPr>
            <w:tcW w:w="2642" w:type="dxa"/>
          </w:tcPr>
          <w:p w14:paraId="39780D56" w14:textId="40CB56DB" w:rsidR="00222E62" w:rsidRDefault="00222E62" w:rsidP="00222E62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387B3F00" w14:textId="77777777" w:rsidR="00222E62" w:rsidRDefault="00222E62" w:rsidP="00222E62"/>
        </w:tc>
        <w:tc>
          <w:tcPr>
            <w:tcW w:w="2100" w:type="dxa"/>
          </w:tcPr>
          <w:p w14:paraId="7021C4F5" w14:textId="155A3C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222E62" w:rsidRDefault="00222E62" w:rsidP="00222E62"/>
        </w:tc>
        <w:tc>
          <w:tcPr>
            <w:tcW w:w="2429" w:type="dxa"/>
          </w:tcPr>
          <w:p w14:paraId="2E9772CE" w14:textId="77777777" w:rsidR="00222E62" w:rsidRDefault="00222E62" w:rsidP="00222E62"/>
        </w:tc>
      </w:tr>
      <w:tr w:rsidR="00222E62" w14:paraId="6DDC4ED1" w14:textId="77777777" w:rsidTr="00713B84">
        <w:tc>
          <w:tcPr>
            <w:tcW w:w="2642" w:type="dxa"/>
          </w:tcPr>
          <w:p w14:paraId="684760E8" w14:textId="0B27846D" w:rsidR="00222E62" w:rsidRDefault="00222E62" w:rsidP="00222E62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222E62" w:rsidRDefault="00222E62" w:rsidP="00222E62">
            <w:r>
              <w:t>See below</w:t>
            </w:r>
          </w:p>
        </w:tc>
        <w:tc>
          <w:tcPr>
            <w:tcW w:w="2320" w:type="dxa"/>
          </w:tcPr>
          <w:p w14:paraId="434B486D" w14:textId="77777777" w:rsidR="00222E62" w:rsidRDefault="00222E62" w:rsidP="00222E62"/>
        </w:tc>
        <w:tc>
          <w:tcPr>
            <w:tcW w:w="2100" w:type="dxa"/>
          </w:tcPr>
          <w:p w14:paraId="64107008" w14:textId="41DEBCD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222E62" w:rsidRDefault="00222E62" w:rsidP="00222E62"/>
        </w:tc>
        <w:tc>
          <w:tcPr>
            <w:tcW w:w="2429" w:type="dxa"/>
          </w:tcPr>
          <w:p w14:paraId="6E1D1C87" w14:textId="77777777" w:rsidR="00222E62" w:rsidRDefault="00222E62" w:rsidP="00222E62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84BB586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>Race:</w:t>
            </w:r>
          </w:p>
          <w:p w14:paraId="7B7FA5DA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service where someone speaking a different language can speak with advisors by using Language Line.</w:t>
            </w:r>
          </w:p>
          <w:p w14:paraId="6B0A83AB" w14:textId="77777777" w:rsidR="00222E62" w:rsidRPr="00222E62" w:rsidRDefault="00222E62" w:rsidP="00222E62">
            <w:pPr>
              <w:rPr>
                <w:bCs/>
                <w:szCs w:val="24"/>
              </w:rPr>
            </w:pPr>
          </w:p>
          <w:p w14:paraId="0D6A317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variety of methods for contacting us if English is not the first language such as Email/Phone/Writing/Web Forms</w:t>
            </w:r>
          </w:p>
          <w:p w14:paraId="494795A0" w14:textId="77777777" w:rsidR="00236930" w:rsidRDefault="00236930" w:rsidP="00236930"/>
          <w:p w14:paraId="3D3C39DE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 xml:space="preserve">Disability: </w:t>
            </w:r>
          </w:p>
          <w:p w14:paraId="61B00B03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39A3596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have online services such as Connect &amp; Serve and E-Billing for those who are unable to hear/speak. They can receive their bills online and access their account online to avoid them having to visit us or speak to us.</w:t>
            </w:r>
          </w:p>
          <w:p w14:paraId="4AAA23D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7C2E550F" w14:textId="7A73DA6B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 xml:space="preserve">We offer a service where customers can pre book a visit at our libraries/shops to speak to someone about their </w:t>
            </w:r>
            <w:r w:rsidR="00041CAC">
              <w:rPr>
                <w:bCs/>
                <w:sz w:val="18"/>
                <w:szCs w:val="18"/>
              </w:rPr>
              <w:t xml:space="preserve">Council </w:t>
            </w:r>
            <w:proofErr w:type="spellStart"/>
            <w:r w:rsidR="00041CAC">
              <w:rPr>
                <w:bCs/>
                <w:sz w:val="18"/>
                <w:szCs w:val="18"/>
              </w:rPr>
              <w:t>tTax</w:t>
            </w:r>
            <w:proofErr w:type="spellEnd"/>
            <w:r w:rsidR="00041CAC">
              <w:rPr>
                <w:bCs/>
                <w:sz w:val="18"/>
                <w:szCs w:val="18"/>
              </w:rPr>
              <w:t xml:space="preserve"> Support  and </w:t>
            </w:r>
            <w:r w:rsidRPr="00222E62">
              <w:rPr>
                <w:bCs/>
                <w:sz w:val="18"/>
                <w:szCs w:val="18"/>
              </w:rPr>
              <w:t>where we have adaptions in place to assist customers with disabilities such as ramps, wide doors and hearing loop systems etc.</w:t>
            </w:r>
          </w:p>
          <w:p w14:paraId="18820BC0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50097C6C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can provide bills in large print and braille at a customer’s request.</w:t>
            </w:r>
          </w:p>
          <w:p w14:paraId="16F71381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1FB3EE4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range of methods for making payment such as online or over the telephone for those unable to visit us to pay in cash.</w:t>
            </w:r>
          </w:p>
          <w:p w14:paraId="54C97016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4EDDE8B6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ensure our letters/bills are of easy read for those with learning disabilities.</w:t>
            </w:r>
          </w:p>
          <w:p w14:paraId="7D66EA66" w14:textId="77777777" w:rsidR="00222E62" w:rsidRDefault="00222E62" w:rsidP="00236930"/>
          <w:p w14:paraId="2F97E5CC" w14:textId="77777777" w:rsidR="00222E62" w:rsidRDefault="00222E62" w:rsidP="00236930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6566D5B1" w14:textId="77777777" w:rsidR="00832CD4" w:rsidRPr="00832CD4" w:rsidRDefault="00832CD4" w:rsidP="00832CD4">
            <w:pPr>
              <w:rPr>
                <w:bCs/>
                <w:sz w:val="18"/>
                <w:szCs w:val="18"/>
              </w:rPr>
            </w:pPr>
            <w:r w:rsidRPr="00832CD4">
              <w:rPr>
                <w:bCs/>
                <w:sz w:val="18"/>
                <w:szCs w:val="18"/>
              </w:rPr>
              <w:t>Human Rights:</w:t>
            </w:r>
          </w:p>
          <w:p w14:paraId="3520DBBE" w14:textId="77777777" w:rsidR="00832CD4" w:rsidRPr="00832CD4" w:rsidRDefault="00832CD4" w:rsidP="00832CD4">
            <w:pPr>
              <w:rPr>
                <w:bCs/>
                <w:sz w:val="18"/>
                <w:szCs w:val="18"/>
              </w:rPr>
            </w:pPr>
          </w:p>
          <w:p w14:paraId="06672DD7" w14:textId="74A49D52" w:rsidR="00236930" w:rsidRPr="00832CD4" w:rsidRDefault="00832CD4" w:rsidP="00832CD4">
            <w:pPr>
              <w:rPr>
                <w:bCs/>
              </w:rPr>
            </w:pPr>
            <w:r w:rsidRPr="00832CD4">
              <w:rPr>
                <w:bCs/>
                <w:sz w:val="18"/>
                <w:szCs w:val="18"/>
              </w:rPr>
              <w:t>All CTRS decisions have the right of appeal in accordance with the Valuation Tribunal’s regulations/procedures</w:t>
            </w:r>
          </w:p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565DF6D9" w:rsidR="002A1955" w:rsidRDefault="002A1955" w:rsidP="00EE0E55"/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2DA82385" w:rsidR="00AE6E4F" w:rsidRPr="006C4DCC" w:rsidRDefault="006C4DCC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6C4DCC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 xml:space="preserve">Any ongoing policy changes will be reviewed with an EQIA </w:t>
            </w:r>
          </w:p>
          <w:p w14:paraId="66DBB4A0" w14:textId="77777777" w:rsidR="00AE6E4F" w:rsidRPr="006C4DCC" w:rsidRDefault="00AE6E4F" w:rsidP="00EE0E55">
            <w:pPr>
              <w:rPr>
                <w:bCs/>
              </w:rPr>
            </w:pP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53ED95E7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19.03.2025 </w:t>
            </w:r>
          </w:p>
          <w:p w14:paraId="6426ED7B" w14:textId="3E457AF7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98D3B5F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19.03.2026</w:t>
            </w:r>
          </w:p>
          <w:p w14:paraId="1EE5C424" w14:textId="3A2A437C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237F4"/>
    <w:rsid w:val="00041CAC"/>
    <w:rsid w:val="00092104"/>
    <w:rsid w:val="00096891"/>
    <w:rsid w:val="000F363D"/>
    <w:rsid w:val="000F7582"/>
    <w:rsid w:val="00126205"/>
    <w:rsid w:val="001E0ADF"/>
    <w:rsid w:val="001F64C6"/>
    <w:rsid w:val="00222E62"/>
    <w:rsid w:val="00233A25"/>
    <w:rsid w:val="00236930"/>
    <w:rsid w:val="002A1955"/>
    <w:rsid w:val="002F602A"/>
    <w:rsid w:val="003169C4"/>
    <w:rsid w:val="003724ED"/>
    <w:rsid w:val="00383B0B"/>
    <w:rsid w:val="003D5A86"/>
    <w:rsid w:val="00483F7B"/>
    <w:rsid w:val="00484FE3"/>
    <w:rsid w:val="004D02B7"/>
    <w:rsid w:val="004E6CFD"/>
    <w:rsid w:val="005316D0"/>
    <w:rsid w:val="005334F9"/>
    <w:rsid w:val="00554750"/>
    <w:rsid w:val="00580F40"/>
    <w:rsid w:val="005A0185"/>
    <w:rsid w:val="005A2A01"/>
    <w:rsid w:val="005B726B"/>
    <w:rsid w:val="005C7954"/>
    <w:rsid w:val="0067678F"/>
    <w:rsid w:val="00695B8E"/>
    <w:rsid w:val="006A7EC7"/>
    <w:rsid w:val="006B2A0C"/>
    <w:rsid w:val="006C4DCC"/>
    <w:rsid w:val="006D378A"/>
    <w:rsid w:val="00713B84"/>
    <w:rsid w:val="00737374"/>
    <w:rsid w:val="00832CD4"/>
    <w:rsid w:val="008C699A"/>
    <w:rsid w:val="00933FF8"/>
    <w:rsid w:val="009D2978"/>
    <w:rsid w:val="009E55B4"/>
    <w:rsid w:val="00A4363E"/>
    <w:rsid w:val="00A96796"/>
    <w:rsid w:val="00AE6E4F"/>
    <w:rsid w:val="00B62A71"/>
    <w:rsid w:val="00B82EF2"/>
    <w:rsid w:val="00B90269"/>
    <w:rsid w:val="00C01148"/>
    <w:rsid w:val="00C815E0"/>
    <w:rsid w:val="00CD0CD8"/>
    <w:rsid w:val="00D6047D"/>
    <w:rsid w:val="00DE0479"/>
    <w:rsid w:val="00E02321"/>
    <w:rsid w:val="00EE0E55"/>
    <w:rsid w:val="00F845F2"/>
    <w:rsid w:val="00F85A90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4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3</cp:revision>
  <dcterms:created xsi:type="dcterms:W3CDTF">2025-06-10T08:41:00Z</dcterms:created>
  <dcterms:modified xsi:type="dcterms:W3CDTF">2025-06-10T08:41:00Z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