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D12A" w14:textId="77777777" w:rsidR="00D042CD" w:rsidRDefault="00474533">
      <w:pPr>
        <w:rPr>
          <w:b/>
        </w:rPr>
      </w:pPr>
      <w:r>
        <w:rPr>
          <w:b/>
        </w:rPr>
        <w:t xml:space="preserve">Customer Impact Assessment – </w:t>
      </w:r>
      <w:r w:rsidR="00B20A72">
        <w:rPr>
          <w:b/>
        </w:rPr>
        <w:t xml:space="preserve">Community Safety team - Engagement </w:t>
      </w:r>
    </w:p>
    <w:p w14:paraId="4E1C1817" w14:textId="77777777" w:rsidR="00362D93" w:rsidRDefault="00362D93">
      <w:pPr>
        <w:rPr>
          <w:b/>
        </w:rPr>
      </w:pPr>
    </w:p>
    <w:tbl>
      <w:tblPr>
        <w:tblW w:w="153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53"/>
        <w:gridCol w:w="1295"/>
        <w:gridCol w:w="1201"/>
        <w:gridCol w:w="1139"/>
        <w:gridCol w:w="897"/>
        <w:gridCol w:w="2883"/>
        <w:gridCol w:w="1260"/>
        <w:gridCol w:w="3734"/>
      </w:tblGrid>
      <w:tr w:rsidR="00D042CD" w14:paraId="1C14E8FE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D51069" w14:textId="77777777" w:rsidR="00D042CD" w:rsidRDefault="004745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brief description of policy being analysed</w:t>
            </w:r>
          </w:p>
          <w:p w14:paraId="56E34EC1" w14:textId="77777777" w:rsidR="00D042CD" w:rsidRPr="00362D93" w:rsidRDefault="00D042CD">
            <w:pPr>
              <w:rPr>
                <w:color w:val="000000" w:themeColor="text1"/>
                <w:sz w:val="20"/>
                <w:szCs w:val="20"/>
              </w:rPr>
            </w:pPr>
          </w:p>
          <w:p w14:paraId="69512E4F" w14:textId="77777777" w:rsidR="00362D93" w:rsidRDefault="00474533" w:rsidP="00362D93">
            <w:pPr>
              <w:pStyle w:val="Heading3"/>
              <w:shd w:val="clear" w:color="auto" w:fill="FFFFFF"/>
              <w:spacing w:before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362D9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The </w:t>
            </w:r>
            <w:r w:rsidR="004A46A1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council’s community safety team conducts community engagement to link with the residents of Fenland and deliver the objectives of the council and Community Safety Partnership (CSP)</w:t>
            </w:r>
            <w:r w:rsidR="009C2286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6A6A71A0" w14:textId="77777777" w:rsidR="009C2286" w:rsidRPr="009C2286" w:rsidRDefault="009C2286" w:rsidP="009C2286"/>
          <w:p w14:paraId="1095FAAB" w14:textId="77777777" w:rsidR="00D042CD" w:rsidRDefault="004A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engagements are linked to the police crime calendar (seasonal trends) and the key themes of the Fenland CSP</w:t>
            </w:r>
            <w:r w:rsidR="0047219A">
              <w:rPr>
                <w:sz w:val="20"/>
                <w:szCs w:val="20"/>
              </w:rPr>
              <w:t>.</w:t>
            </w:r>
          </w:p>
          <w:p w14:paraId="64BE290B" w14:textId="77777777" w:rsidR="009C2286" w:rsidRDefault="009C2286">
            <w:pPr>
              <w:rPr>
                <w:sz w:val="20"/>
                <w:szCs w:val="20"/>
              </w:rPr>
            </w:pPr>
          </w:p>
          <w:p w14:paraId="6E396A4D" w14:textId="77777777" w:rsidR="0047219A" w:rsidRDefault="0047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assessment also links with the objectives from the Office of the Police &amp; Crime Commissi</w:t>
            </w:r>
            <w:r w:rsidR="00EE5C3D">
              <w:rPr>
                <w:sz w:val="20"/>
                <w:szCs w:val="20"/>
              </w:rPr>
              <w:t>oner.</w:t>
            </w:r>
          </w:p>
          <w:p w14:paraId="2BB00DFA" w14:textId="77777777" w:rsidR="00D042CD" w:rsidRDefault="00D042CD">
            <w:pPr>
              <w:rPr>
                <w:b/>
              </w:rPr>
            </w:pPr>
          </w:p>
        </w:tc>
      </w:tr>
      <w:tr w:rsidR="00D042CD" w14:paraId="08118ED0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3B2273" w14:textId="2C7E452A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used for customer analysis</w:t>
            </w:r>
          </w:p>
          <w:p w14:paraId="03301AD4" w14:textId="6781DDD4" w:rsidR="00B57DEC" w:rsidRDefault="00B57DEC">
            <w:pPr>
              <w:rPr>
                <w:b/>
                <w:sz w:val="20"/>
                <w:szCs w:val="20"/>
              </w:rPr>
            </w:pPr>
          </w:p>
          <w:p w14:paraId="7C27EB4D" w14:textId="7F44BBDD" w:rsidR="00B57DEC" w:rsidRDefault="00B57D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 Safety Survey</w:t>
            </w:r>
          </w:p>
          <w:p w14:paraId="1CA58F3D" w14:textId="77777777" w:rsidR="00E56813" w:rsidRDefault="0047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74DB7F" w14:textId="3B8AAD1F" w:rsidR="00807CA0" w:rsidRDefault="00B5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Customers are invited to</w:t>
            </w:r>
            <w:r w:rsidR="00E56813">
              <w:rPr>
                <w:sz w:val="20"/>
                <w:szCs w:val="20"/>
              </w:rPr>
              <w:t xml:space="preserve"> </w:t>
            </w:r>
            <w:r w:rsidR="00807CA0">
              <w:rPr>
                <w:sz w:val="20"/>
                <w:szCs w:val="20"/>
              </w:rPr>
              <w:t>feedback</w:t>
            </w:r>
            <w:r w:rsidR="00E56813">
              <w:rPr>
                <w:sz w:val="20"/>
                <w:szCs w:val="20"/>
              </w:rPr>
              <w:t xml:space="preserve"> about issues and concerns that directly impact them or their community.</w:t>
            </w:r>
            <w:r w:rsidR="00807CA0">
              <w:rPr>
                <w:sz w:val="20"/>
                <w:szCs w:val="20"/>
              </w:rPr>
              <w:t xml:space="preserve">  Concerns are fed back to N</w:t>
            </w:r>
            <w:r w:rsidR="00644518">
              <w:rPr>
                <w:sz w:val="20"/>
                <w:szCs w:val="20"/>
              </w:rPr>
              <w:t>eighbourhood Policing Team (N</w:t>
            </w:r>
            <w:r w:rsidR="00807CA0">
              <w:rPr>
                <w:sz w:val="20"/>
                <w:szCs w:val="20"/>
              </w:rPr>
              <w:t>PT’s</w:t>
            </w:r>
            <w:r w:rsidR="00644518">
              <w:rPr>
                <w:sz w:val="20"/>
                <w:szCs w:val="20"/>
              </w:rPr>
              <w:t>)</w:t>
            </w:r>
            <w:r w:rsidR="00807CA0">
              <w:rPr>
                <w:sz w:val="20"/>
                <w:szCs w:val="20"/>
              </w:rPr>
              <w:t>, F</w:t>
            </w:r>
            <w:r w:rsidR="00644518">
              <w:rPr>
                <w:sz w:val="20"/>
                <w:szCs w:val="20"/>
              </w:rPr>
              <w:t>enland District Council (FDC)</w:t>
            </w:r>
            <w:r w:rsidR="00807CA0">
              <w:rPr>
                <w:sz w:val="20"/>
                <w:szCs w:val="20"/>
              </w:rPr>
              <w:t xml:space="preserve"> and other appropriate partners to provide support in dealing with issues raised by the complainant. </w:t>
            </w:r>
            <w:r w:rsidR="00E56813">
              <w:rPr>
                <w:sz w:val="20"/>
                <w:szCs w:val="20"/>
              </w:rPr>
              <w:t xml:space="preserve"> </w:t>
            </w:r>
          </w:p>
          <w:p w14:paraId="1C1563CA" w14:textId="77777777" w:rsidR="00807CA0" w:rsidRDefault="00807CA0">
            <w:pPr>
              <w:rPr>
                <w:sz w:val="20"/>
                <w:szCs w:val="20"/>
              </w:rPr>
            </w:pPr>
          </w:p>
          <w:p w14:paraId="7BA20F40" w14:textId="77777777" w:rsidR="0047219A" w:rsidRDefault="00E56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</w:t>
            </w:r>
            <w:r w:rsidR="009B1966">
              <w:rPr>
                <w:sz w:val="20"/>
                <w:szCs w:val="20"/>
              </w:rPr>
              <w:t xml:space="preserve"> data is compiled on a bi-annual</w:t>
            </w:r>
            <w:r>
              <w:rPr>
                <w:sz w:val="20"/>
                <w:szCs w:val="20"/>
              </w:rPr>
              <w:t xml:space="preserve"> basis and shared with the </w:t>
            </w:r>
            <w:r w:rsidR="008E593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CSP and Fenland residents. </w:t>
            </w:r>
            <w:r w:rsidR="00807CA0">
              <w:rPr>
                <w:sz w:val="20"/>
                <w:szCs w:val="20"/>
              </w:rPr>
              <w:t xml:space="preserve"> </w:t>
            </w:r>
          </w:p>
          <w:p w14:paraId="13300669" w14:textId="77777777" w:rsidR="00E56813" w:rsidRPr="00E56813" w:rsidRDefault="00E56813" w:rsidP="00E56813">
            <w:pPr>
              <w:rPr>
                <w:sz w:val="20"/>
                <w:szCs w:val="20"/>
              </w:rPr>
            </w:pPr>
          </w:p>
          <w:p w14:paraId="34729CDF" w14:textId="77777777" w:rsidR="0047219A" w:rsidRPr="00362D93" w:rsidRDefault="00807CA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Please find copy of the questionnaire in our EIA pack.</w:t>
            </w:r>
          </w:p>
          <w:p w14:paraId="2BF8EFBA" w14:textId="77777777" w:rsidR="00D042CD" w:rsidRDefault="00D042CD" w:rsidP="00EE595C">
            <w:pPr>
              <w:rPr>
                <w:b/>
              </w:rPr>
            </w:pPr>
          </w:p>
        </w:tc>
      </w:tr>
      <w:tr w:rsidR="00D042CD" w14:paraId="2B917DC2" w14:textId="77777777">
        <w:tc>
          <w:tcPr>
            <w:tcW w:w="2953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A065AE" w14:textId="77777777" w:rsidR="00D042CD" w:rsidRDefault="00D042CD">
            <w:pPr>
              <w:snapToGrid w:val="0"/>
              <w:rPr>
                <w:b/>
              </w:rPr>
            </w:pPr>
          </w:p>
          <w:p w14:paraId="38698CD1" w14:textId="77777777" w:rsidR="00D042CD" w:rsidRDefault="00D042CD">
            <w:pPr>
              <w:rPr>
                <w:b/>
              </w:rPr>
            </w:pPr>
          </w:p>
        </w:tc>
        <w:tc>
          <w:tcPr>
            <w:tcW w:w="1295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44C0824" w14:textId="77777777" w:rsidR="00D042CD" w:rsidRDefault="00474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Could particularly benefit</w:t>
            </w:r>
          </w:p>
        </w:tc>
        <w:tc>
          <w:tcPr>
            <w:tcW w:w="1201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E11B3B" w14:textId="77777777" w:rsidR="00D042CD" w:rsidRDefault="00474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1139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DE6B37" w14:textId="77777777" w:rsidR="00D042CD" w:rsidRDefault="00474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adversely impact</w:t>
            </w:r>
          </w:p>
        </w:tc>
        <w:tc>
          <w:tcPr>
            <w:tcW w:w="3780" w:type="dxa"/>
            <w:gridSpan w:val="2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C41371" w14:textId="77777777" w:rsidR="00D042CD" w:rsidRDefault="004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</w:t>
            </w:r>
          </w:p>
        </w:tc>
        <w:tc>
          <w:tcPr>
            <w:tcW w:w="1260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2AB68F" w14:textId="77777777" w:rsidR="00D042CD" w:rsidRDefault="004745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action possible or required?</w:t>
            </w:r>
          </w:p>
        </w:tc>
        <w:tc>
          <w:tcPr>
            <w:tcW w:w="3734" w:type="dxa"/>
            <w:tcBorders>
              <w:top w:val="thickThin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AA63FD" w14:textId="77777777" w:rsidR="00D042CD" w:rsidRDefault="0047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 of actions or explanations if actions are not possible</w:t>
            </w:r>
          </w:p>
          <w:p w14:paraId="3DCACB29" w14:textId="77777777" w:rsidR="00D042CD" w:rsidRDefault="00D042CD">
            <w:pPr>
              <w:rPr>
                <w:sz w:val="20"/>
                <w:szCs w:val="20"/>
              </w:rPr>
            </w:pPr>
          </w:p>
          <w:p w14:paraId="27E0AD1A" w14:textId="77777777" w:rsidR="00D042CD" w:rsidRDefault="0047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details of any actions to be placed in your Service Plan</w:t>
            </w:r>
          </w:p>
          <w:p w14:paraId="715D83AD" w14:textId="77777777" w:rsidR="00D042CD" w:rsidRDefault="00D042CD">
            <w:pPr>
              <w:rPr>
                <w:sz w:val="20"/>
                <w:szCs w:val="20"/>
              </w:rPr>
            </w:pPr>
          </w:p>
        </w:tc>
      </w:tr>
      <w:tr w:rsidR="00D042CD" w14:paraId="58DB4741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924356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2DF524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2210B7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E7FD84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F5A444" w14:textId="2F390E51" w:rsidR="008E5932" w:rsidRDefault="008E5932" w:rsidP="008E59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for Community Engagements includes:</w:t>
            </w:r>
          </w:p>
          <w:p w14:paraId="3AE6FBD0" w14:textId="4A5731DB" w:rsidR="00792435" w:rsidRDefault="00792435" w:rsidP="008E5932">
            <w:pPr>
              <w:snapToGrid w:val="0"/>
              <w:rPr>
                <w:sz w:val="20"/>
                <w:szCs w:val="20"/>
              </w:rPr>
            </w:pPr>
          </w:p>
          <w:p w14:paraId="4A100816" w14:textId="77777777" w:rsidR="002209AB" w:rsidRPr="006216B4" w:rsidRDefault="002209AB" w:rsidP="006216B4">
            <w:pPr>
              <w:pStyle w:val="ListParagraph"/>
              <w:numPr>
                <w:ilvl w:val="0"/>
                <w:numId w:val="5"/>
              </w:numPr>
              <w:snapToGrid w:val="0"/>
              <w:rPr>
                <w:sz w:val="20"/>
                <w:szCs w:val="20"/>
              </w:rPr>
            </w:pPr>
            <w:r w:rsidRPr="006216B4">
              <w:rPr>
                <w:sz w:val="20"/>
                <w:szCs w:val="20"/>
              </w:rPr>
              <w:t>Working with statutory a</w:t>
            </w:r>
            <w:r w:rsidR="006216B4" w:rsidRPr="006216B4">
              <w:rPr>
                <w:sz w:val="20"/>
                <w:szCs w:val="20"/>
              </w:rPr>
              <w:t>nd third sector partners to gain</w:t>
            </w:r>
            <w:r w:rsidR="006216B4">
              <w:rPr>
                <w:sz w:val="20"/>
                <w:szCs w:val="20"/>
              </w:rPr>
              <w:t xml:space="preserve"> knowledge</w:t>
            </w:r>
            <w:r w:rsidRPr="006216B4">
              <w:rPr>
                <w:sz w:val="20"/>
                <w:szCs w:val="20"/>
              </w:rPr>
              <w:t xml:space="preserve"> of the local demographic</w:t>
            </w:r>
            <w:r w:rsidR="00F07410" w:rsidRPr="006216B4">
              <w:rPr>
                <w:sz w:val="20"/>
                <w:szCs w:val="20"/>
              </w:rPr>
              <w:t xml:space="preserve"> and their needs.</w:t>
            </w:r>
          </w:p>
          <w:p w14:paraId="64130E81" w14:textId="77777777" w:rsidR="00F07410" w:rsidRDefault="00F07410" w:rsidP="00F07410">
            <w:pPr>
              <w:pStyle w:val="ListParagraph"/>
              <w:snapToGrid w:val="0"/>
              <w:ind w:left="360"/>
              <w:rPr>
                <w:sz w:val="20"/>
                <w:szCs w:val="20"/>
              </w:rPr>
            </w:pPr>
          </w:p>
          <w:p w14:paraId="4A2054E3" w14:textId="77777777" w:rsidR="00F07410" w:rsidRDefault="00F07410" w:rsidP="00F07410">
            <w:pPr>
              <w:pStyle w:val="ListParagraph"/>
              <w:snapToGrid w:val="0"/>
              <w:ind w:left="360"/>
              <w:rPr>
                <w:sz w:val="20"/>
                <w:szCs w:val="20"/>
              </w:rPr>
            </w:pPr>
          </w:p>
          <w:p w14:paraId="55656321" w14:textId="77777777" w:rsidR="008E5932" w:rsidRDefault="00C22072" w:rsidP="008E5932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 w:rsidRPr="002209AB">
              <w:rPr>
                <w:sz w:val="20"/>
                <w:szCs w:val="20"/>
              </w:rPr>
              <w:lastRenderedPageBreak/>
              <w:t>W</w:t>
            </w:r>
            <w:r w:rsidR="008E5932" w:rsidRPr="002209AB">
              <w:rPr>
                <w:sz w:val="20"/>
                <w:szCs w:val="20"/>
              </w:rPr>
              <w:t xml:space="preserve">orking </w:t>
            </w:r>
            <w:r w:rsidR="002209AB" w:rsidRPr="002209AB">
              <w:rPr>
                <w:sz w:val="20"/>
                <w:szCs w:val="20"/>
              </w:rPr>
              <w:t>with partners</w:t>
            </w:r>
            <w:r w:rsidR="008E5932" w:rsidRPr="002209AB">
              <w:rPr>
                <w:sz w:val="20"/>
                <w:szCs w:val="20"/>
              </w:rPr>
              <w:t xml:space="preserve"> through CSP</w:t>
            </w:r>
            <w:r w:rsidR="002209AB" w:rsidRPr="002209AB">
              <w:rPr>
                <w:sz w:val="20"/>
                <w:szCs w:val="20"/>
              </w:rPr>
              <w:t xml:space="preserve">, statutory partners and third sector </w:t>
            </w:r>
            <w:r w:rsidRPr="002209AB">
              <w:rPr>
                <w:sz w:val="20"/>
                <w:szCs w:val="20"/>
              </w:rPr>
              <w:t>to provide a r</w:t>
            </w:r>
            <w:r w:rsidR="002209AB" w:rsidRPr="002209AB">
              <w:rPr>
                <w:sz w:val="20"/>
                <w:szCs w:val="20"/>
              </w:rPr>
              <w:t>ange of information and support to residents.</w:t>
            </w:r>
          </w:p>
          <w:p w14:paraId="2D98BA96" w14:textId="77777777" w:rsidR="00F07410" w:rsidRPr="002209AB" w:rsidRDefault="00F07410" w:rsidP="00F07410">
            <w:pPr>
              <w:pStyle w:val="ListParagraph"/>
              <w:snapToGrid w:val="0"/>
              <w:ind w:left="360"/>
              <w:rPr>
                <w:sz w:val="20"/>
                <w:szCs w:val="20"/>
              </w:rPr>
            </w:pPr>
          </w:p>
          <w:p w14:paraId="573ADEEA" w14:textId="77777777" w:rsidR="002209AB" w:rsidRDefault="006216B4" w:rsidP="002209AB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Delivering</w:t>
            </w:r>
            <w:r w:rsidR="002209AB">
              <w:rPr>
                <w:sz w:val="20"/>
                <w:szCs w:val="20"/>
              </w:rPr>
              <w:t xml:space="preserve"> engagement events in varied locations</w:t>
            </w:r>
            <w:r>
              <w:rPr>
                <w:sz w:val="20"/>
                <w:szCs w:val="20"/>
              </w:rPr>
              <w:t>/times</w:t>
            </w:r>
            <w:r w:rsidR="002209AB">
              <w:rPr>
                <w:sz w:val="20"/>
                <w:szCs w:val="20"/>
              </w:rPr>
              <w:t xml:space="preserve"> to provide wider access to engagement events</w:t>
            </w:r>
            <w:r w:rsidR="00DF6A66">
              <w:rPr>
                <w:sz w:val="20"/>
                <w:szCs w:val="20"/>
              </w:rPr>
              <w:t xml:space="preserve"> for residents.</w:t>
            </w:r>
          </w:p>
          <w:p w14:paraId="0886895C" w14:textId="1451D69A" w:rsidR="00F07410" w:rsidRDefault="00F07410" w:rsidP="00F07410">
            <w:pPr>
              <w:pStyle w:val="ListParagraph"/>
              <w:snapToGrid w:val="0"/>
              <w:ind w:left="360"/>
              <w:rPr>
                <w:sz w:val="20"/>
                <w:szCs w:val="20"/>
              </w:rPr>
            </w:pPr>
          </w:p>
          <w:p w14:paraId="0D09D1A7" w14:textId="77777777" w:rsidR="001269BD" w:rsidRDefault="00792435" w:rsidP="00792435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 w:rsidRPr="00792435">
              <w:rPr>
                <w:sz w:val="20"/>
                <w:szCs w:val="20"/>
              </w:rPr>
              <w:t>A</w:t>
            </w:r>
            <w:r w:rsidRPr="00BC133D">
              <w:rPr>
                <w:b/>
                <w:bCs/>
                <w:sz w:val="20"/>
                <w:szCs w:val="20"/>
              </w:rPr>
              <w:t>daptations during the Covid pandemic</w:t>
            </w:r>
            <w:r w:rsidRPr="00792435">
              <w:rPr>
                <w:sz w:val="20"/>
                <w:szCs w:val="20"/>
              </w:rPr>
              <w:t>: Community engagement events are taking place online due to COVID social distancing regulations. These engagement events raise awareness of key safety messages.</w:t>
            </w:r>
          </w:p>
          <w:p w14:paraId="24521ED6" w14:textId="77777777" w:rsidR="002A5883" w:rsidRDefault="002A5883" w:rsidP="001269BD">
            <w:pPr>
              <w:pStyle w:val="ListParagraph"/>
              <w:snapToGrid w:val="0"/>
              <w:ind w:left="360"/>
              <w:rPr>
                <w:sz w:val="20"/>
                <w:szCs w:val="20"/>
              </w:rPr>
            </w:pPr>
          </w:p>
          <w:p w14:paraId="1A930D0A" w14:textId="5CD40921" w:rsidR="00792435" w:rsidRPr="009B1B0B" w:rsidRDefault="00792435" w:rsidP="009B1B0B">
            <w:pPr>
              <w:pStyle w:val="CommentText"/>
              <w:numPr>
                <w:ilvl w:val="0"/>
                <w:numId w:val="4"/>
              </w:numPr>
              <w:rPr>
                <w:lang w:eastAsia="en-GB"/>
              </w:rPr>
            </w:pPr>
            <w:r w:rsidRPr="00792435">
              <w:t>Residents are invited to submit their questions to FDC via survey monkey and Facebook before the event</w:t>
            </w:r>
            <w:r w:rsidR="009B1B0B">
              <w:t xml:space="preserve"> and</w:t>
            </w:r>
            <w:r w:rsidR="009B1B0B" w:rsidRPr="009B1B0B">
              <w:rPr>
                <w:lang w:eastAsia="en-GB"/>
              </w:rPr>
              <w:t xml:space="preserve"> view the completed community safety videos on YouTube.</w:t>
            </w:r>
          </w:p>
          <w:p w14:paraId="3D6E31D1" w14:textId="77777777" w:rsidR="00BC133D" w:rsidRPr="00BC133D" w:rsidRDefault="00BC133D" w:rsidP="00BC133D">
            <w:pPr>
              <w:pStyle w:val="ListParagraph"/>
              <w:rPr>
                <w:sz w:val="20"/>
                <w:szCs w:val="20"/>
              </w:rPr>
            </w:pPr>
          </w:p>
          <w:p w14:paraId="582BA297" w14:textId="69737D6D" w:rsidR="00BC133D" w:rsidRPr="00BC133D" w:rsidRDefault="00BC133D" w:rsidP="00BC133D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future</w:t>
            </w:r>
            <w:r w:rsidRPr="00BC13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engagement </w:t>
            </w:r>
            <w:r w:rsidRPr="00BC133D">
              <w:rPr>
                <w:sz w:val="20"/>
                <w:szCs w:val="20"/>
              </w:rPr>
              <w:t>activity</w:t>
            </w:r>
            <w:r w:rsidR="001269BD">
              <w:rPr>
                <w:sz w:val="20"/>
                <w:szCs w:val="20"/>
              </w:rPr>
              <w:t xml:space="preserve"> is permissible</w:t>
            </w:r>
            <w:r w:rsidRPr="00BC133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venues</w:t>
            </w:r>
            <w:r w:rsidRPr="00BC133D">
              <w:rPr>
                <w:sz w:val="20"/>
                <w:szCs w:val="20"/>
              </w:rPr>
              <w:t>, COVID guidelines</w:t>
            </w:r>
            <w:r>
              <w:rPr>
                <w:sz w:val="20"/>
                <w:szCs w:val="20"/>
              </w:rPr>
              <w:t>, social distancing</w:t>
            </w:r>
            <w:r w:rsidRPr="00BC133D">
              <w:rPr>
                <w:sz w:val="20"/>
                <w:szCs w:val="20"/>
              </w:rPr>
              <w:t xml:space="preserve"> and the appropriate PPE will be strictly adhered to.</w:t>
            </w:r>
          </w:p>
          <w:p w14:paraId="76B5F468" w14:textId="2861DB13" w:rsidR="00BC133D" w:rsidRDefault="00BC133D" w:rsidP="00BC133D">
            <w:pPr>
              <w:snapToGrid w:val="0"/>
              <w:rPr>
                <w:sz w:val="20"/>
                <w:szCs w:val="20"/>
              </w:rPr>
            </w:pPr>
          </w:p>
          <w:p w14:paraId="2C503370" w14:textId="77777777" w:rsidR="008E5932" w:rsidRDefault="008E5932" w:rsidP="008E593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translated material that reflect target groups as well as wider Fenland community</w:t>
            </w:r>
            <w:r w:rsidR="00F07410">
              <w:rPr>
                <w:sz w:val="20"/>
                <w:szCs w:val="20"/>
              </w:rPr>
              <w:t>.</w:t>
            </w:r>
          </w:p>
          <w:p w14:paraId="1BD21F30" w14:textId="77777777" w:rsidR="00D042CD" w:rsidRPr="002209AB" w:rsidRDefault="00D042CD" w:rsidP="002209A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03438F" w14:textId="77777777" w:rsidR="00D042CD" w:rsidRDefault="00474533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43BDF6" w14:textId="77777777" w:rsidR="00D042CD" w:rsidRDefault="00474533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D042CD" w14:paraId="12620612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96DFE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  <w:p w14:paraId="6F0D90E6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7CA97C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7EE379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E96250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6D6A3C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914B1A" w14:textId="77777777" w:rsidR="00D042CD" w:rsidRDefault="004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FAECFB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56BB7B3B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8F8C73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 reassignment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0BF330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7D695C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3F97B5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ABD7D0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833754" w14:textId="77777777" w:rsidR="00D042CD" w:rsidRDefault="004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EE7998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5BCF92DD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737D6B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Disability</w:t>
            </w:r>
          </w:p>
          <w:p w14:paraId="769F5CCA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B7B960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4F8BCA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B29E25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69E282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2372BC" w14:textId="77777777" w:rsidR="00D042CD" w:rsidRDefault="00474533">
            <w:pPr>
              <w:jc w:val="center"/>
            </w:pPr>
            <w:r>
              <w:rPr>
                <w:sz w:val="20"/>
                <w:szCs w:val="20"/>
              </w:rPr>
              <w:t xml:space="preserve">N 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F58A82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696883BB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20905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  <w:p w14:paraId="1160CB67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67E5F1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ED18E1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E050C5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B877807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144BBA" w14:textId="77777777" w:rsidR="00D042CD" w:rsidRDefault="004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AA1EB3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5C9D5A8F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927A71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Sexual orientation</w:t>
            </w:r>
          </w:p>
          <w:p w14:paraId="33703544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B840F9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A19768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3A2980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570099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BEB30A" w14:textId="77777777" w:rsidR="00D042CD" w:rsidRDefault="004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E76F16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0DC91C9E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A8094D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 or belief</w:t>
            </w:r>
          </w:p>
          <w:p w14:paraId="18799149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C76DD9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CDC685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45A7FF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AA6A5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E7ECF2" w14:textId="77777777" w:rsidR="00D042CD" w:rsidRDefault="004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79D40E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13B28BC9" w14:textId="77777777">
        <w:trPr>
          <w:cantSplit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5B92B7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Pregnancy &amp; maternity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1874F6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4BCC39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E66BCA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C2105A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FA4315" w14:textId="77777777" w:rsidR="00D042CD" w:rsidRDefault="004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EC562B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032D3BC8" w14:textId="77777777" w:rsidTr="00362D93">
        <w:trPr>
          <w:cantSplit/>
          <w:trHeight w:val="419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43A96188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Marriage &amp; civil partnership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0F6B22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6E8DD130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9F1679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5F2DF97F" w14:textId="77777777" w:rsidR="00D042CD" w:rsidRDefault="00D042CD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C9594D" w14:textId="77777777" w:rsidR="00D042CD" w:rsidRDefault="004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473A27C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2D5A7257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795B0BC5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Human Rights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DF738A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7B603FFC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8391FF" w14:textId="77777777" w:rsidR="00D042CD" w:rsidRDefault="00474533">
            <w:pPr>
              <w:jc w:val="center"/>
              <w:rPr>
                <w:rFonts w:eastAsia="Arial"/>
                <w:b/>
                <w:sz w:val="36"/>
                <w:szCs w:val="36"/>
              </w:rPr>
            </w:pPr>
            <w:r>
              <w:rPr>
                <w:rFonts w:eastAsia="Arial"/>
                <w:b/>
                <w:sz w:val="36"/>
                <w:szCs w:val="36"/>
              </w:rPr>
              <w:t>□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7084A964" w14:textId="77777777" w:rsidR="00C22072" w:rsidRDefault="00C22072" w:rsidP="00C220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discriminatory language or practices</w:t>
            </w:r>
            <w:r w:rsidR="006216B4">
              <w:rPr>
                <w:sz w:val="20"/>
                <w:szCs w:val="20"/>
              </w:rPr>
              <w:t xml:space="preserve"> are</w:t>
            </w:r>
            <w:r>
              <w:rPr>
                <w:sz w:val="20"/>
                <w:szCs w:val="20"/>
              </w:rPr>
              <w:t xml:space="preserve"> not accepted by partners or participants and</w:t>
            </w:r>
            <w:r w:rsidR="00F07410">
              <w:rPr>
                <w:sz w:val="20"/>
                <w:szCs w:val="20"/>
              </w:rPr>
              <w:t xml:space="preserve"> will be </w:t>
            </w:r>
            <w:r w:rsidR="00F07410">
              <w:rPr>
                <w:sz w:val="20"/>
                <w:szCs w:val="20"/>
              </w:rPr>
              <w:lastRenderedPageBreak/>
              <w:t>challenged.</w:t>
            </w:r>
          </w:p>
          <w:p w14:paraId="2C6365A7" w14:textId="77777777" w:rsidR="00D042CD" w:rsidRDefault="00D042CD" w:rsidP="00362D9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3F891D" w14:textId="77777777" w:rsidR="00D042CD" w:rsidRDefault="004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7C0862" w14:textId="77777777" w:rsidR="00D042CD" w:rsidRDefault="00D042CD">
            <w:pPr>
              <w:snapToGrid w:val="0"/>
              <w:rPr>
                <w:b/>
              </w:rPr>
            </w:pPr>
          </w:p>
        </w:tc>
      </w:tr>
      <w:tr w:rsidR="00D042CD" w14:paraId="62CCB0C0" w14:textId="77777777" w:rsidTr="00362D93">
        <w:trPr>
          <w:trHeight w:val="39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01E14C2D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 Economic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340249" w14:textId="77777777" w:rsidR="00D042CD" w:rsidRDefault="00474533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55487D3E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F99262" w14:textId="77777777" w:rsidR="00D042CD" w:rsidRDefault="00474533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797191CA" w14:textId="77777777" w:rsidR="00C22072" w:rsidRDefault="00F07410" w:rsidP="00C220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engagement events</w:t>
            </w:r>
            <w:r w:rsidR="00C22072">
              <w:rPr>
                <w:sz w:val="20"/>
                <w:szCs w:val="20"/>
              </w:rPr>
              <w:t xml:space="preserve"> sup</w:t>
            </w:r>
            <w:r>
              <w:rPr>
                <w:sz w:val="20"/>
                <w:szCs w:val="20"/>
              </w:rPr>
              <w:t>port and information is free</w:t>
            </w:r>
            <w:r w:rsidR="00C22072">
              <w:rPr>
                <w:sz w:val="20"/>
                <w:szCs w:val="20"/>
              </w:rPr>
              <w:t xml:space="preserve"> for Fenland residents</w:t>
            </w:r>
            <w:r>
              <w:rPr>
                <w:sz w:val="20"/>
                <w:szCs w:val="20"/>
              </w:rPr>
              <w:t xml:space="preserve"> to access at any time. </w:t>
            </w:r>
          </w:p>
          <w:p w14:paraId="14F2EA92" w14:textId="77777777" w:rsidR="00D042CD" w:rsidRDefault="00D042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1DA400" w14:textId="77777777" w:rsidR="00D042CD" w:rsidRDefault="004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298058" w14:textId="77777777" w:rsidR="00D042CD" w:rsidRDefault="00D042CD">
            <w:pPr>
              <w:snapToGrid w:val="0"/>
              <w:rPr>
                <w:b/>
              </w:rPr>
            </w:pPr>
          </w:p>
          <w:p w14:paraId="252DA2D6" w14:textId="77777777" w:rsidR="00D042CD" w:rsidRDefault="00D042CD">
            <w:pPr>
              <w:rPr>
                <w:b/>
              </w:rPr>
            </w:pPr>
          </w:p>
        </w:tc>
      </w:tr>
      <w:tr w:rsidR="00D042CD" w14:paraId="52E93684" w14:textId="77777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61A59AC0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Multiple/ Cross Cutting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2EB242" w14:textId="77777777" w:rsidR="00D042CD" w:rsidRDefault="00474533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7F796723" w14:textId="77777777" w:rsidR="00D042CD" w:rsidRDefault="0047453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76AFC2" w14:textId="77777777" w:rsidR="00D042CD" w:rsidRDefault="00474533">
            <w:pPr>
              <w:jc w:val="center"/>
              <w:rPr>
                <w:rFonts w:ascii="Wingdings 2" w:hAnsi="Wingdings 2"/>
                <w:sz w:val="36"/>
                <w:szCs w:val="36"/>
              </w:rPr>
            </w:pPr>
            <w:r>
              <w:rPr>
                <w:rFonts w:ascii="Wingdings 2" w:hAnsi="Wingdings 2"/>
                <w:sz w:val="36"/>
                <w:szCs w:val="36"/>
              </w:rPr>
              <w:t>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</w:tcPr>
          <w:p w14:paraId="3741A408" w14:textId="2C8C6AD8" w:rsidR="00C22072" w:rsidRDefault="00C22072" w:rsidP="00C22072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Venues chosen for accessibility to welcome all Fenland residents as standard</w:t>
            </w:r>
            <w:r w:rsidR="00F07410">
              <w:rPr>
                <w:sz w:val="20"/>
                <w:szCs w:val="20"/>
              </w:rPr>
              <w:t>,</w:t>
            </w:r>
          </w:p>
          <w:p w14:paraId="21EBA9D3" w14:textId="77777777" w:rsidR="00F50D53" w:rsidRDefault="00F50D53" w:rsidP="00F50D53">
            <w:pPr>
              <w:pStyle w:val="ListParagraph"/>
              <w:snapToGrid w:val="0"/>
              <w:ind w:left="360"/>
              <w:rPr>
                <w:sz w:val="20"/>
                <w:szCs w:val="20"/>
              </w:rPr>
            </w:pPr>
          </w:p>
          <w:p w14:paraId="16DDAA8A" w14:textId="77777777" w:rsidR="00D042CD" w:rsidRDefault="00F50D53" w:rsidP="00F50D53">
            <w:pPr>
              <w:pStyle w:val="ListParagraph"/>
              <w:numPr>
                <w:ilvl w:val="0"/>
                <w:numId w:val="4"/>
              </w:num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F50D53">
              <w:rPr>
                <w:b/>
                <w:sz w:val="20"/>
                <w:szCs w:val="20"/>
              </w:rPr>
              <w:t>nline provision enables remote access</w:t>
            </w:r>
            <w:r>
              <w:rPr>
                <w:b/>
                <w:sz w:val="20"/>
                <w:szCs w:val="20"/>
              </w:rPr>
              <w:t>.</w:t>
            </w:r>
          </w:p>
          <w:p w14:paraId="50E41D04" w14:textId="77777777" w:rsidR="00F50D53" w:rsidRPr="00F50D53" w:rsidRDefault="00F50D53" w:rsidP="00F50D53">
            <w:pPr>
              <w:pStyle w:val="ListParagraph"/>
              <w:rPr>
                <w:b/>
                <w:sz w:val="20"/>
                <w:szCs w:val="20"/>
              </w:rPr>
            </w:pPr>
          </w:p>
          <w:p w14:paraId="6C3E98CD" w14:textId="47E427F5" w:rsidR="00F50D53" w:rsidRPr="00F50D53" w:rsidRDefault="00F50D53" w:rsidP="00F50D53">
            <w:pPr>
              <w:pStyle w:val="ListParagraph"/>
              <w:snapToGrid w:val="0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78DEC5" w14:textId="77777777" w:rsidR="00D042CD" w:rsidRDefault="004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06ED6E" w14:textId="77777777" w:rsidR="00D042CD" w:rsidRDefault="00D042CD">
            <w:pPr>
              <w:snapToGrid w:val="0"/>
              <w:rPr>
                <w:b/>
              </w:rPr>
            </w:pPr>
          </w:p>
          <w:p w14:paraId="74CF61D6" w14:textId="77777777" w:rsidR="00D042CD" w:rsidRDefault="00D042CD">
            <w:pPr>
              <w:rPr>
                <w:b/>
              </w:rPr>
            </w:pPr>
          </w:p>
        </w:tc>
      </w:tr>
      <w:tr w:rsidR="00D042CD" w14:paraId="643766E9" w14:textId="77777777">
        <w:tc>
          <w:tcPr>
            <w:tcW w:w="15362" w:type="dxa"/>
            <w:gridSpan w:val="8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DD55D2" w14:textId="77777777" w:rsidR="00D042CD" w:rsidRDefault="00474533">
            <w:r>
              <w:rPr>
                <w:b/>
                <w:sz w:val="20"/>
                <w:szCs w:val="20"/>
              </w:rPr>
              <w:t>Outcome(s) of customer analysis</w:t>
            </w:r>
          </w:p>
          <w:p w14:paraId="61323A65" w14:textId="77777777" w:rsidR="00D042CD" w:rsidRDefault="00D042CD">
            <w:pPr>
              <w:rPr>
                <w:b/>
                <w:sz w:val="20"/>
                <w:szCs w:val="20"/>
              </w:rPr>
            </w:pPr>
          </w:p>
          <w:p w14:paraId="5EF71E1D" w14:textId="77777777" w:rsidR="00D042CD" w:rsidRDefault="00474533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a) Will the policy/ procedure impact on the whole population of Fenland and/ or identified groups within the population;  negative </w:t>
            </w:r>
            <w:r>
              <w:rPr>
                <w:rFonts w:ascii="Wingdings 2" w:hAnsi="Wingdings 2"/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 neutral  </w:t>
            </w:r>
            <w:r>
              <w:rPr>
                <w:rFonts w:ascii="Wingdings 2" w:hAnsi="Wingdings 2"/>
                <w:sz w:val="20"/>
                <w:szCs w:val="20"/>
              </w:rPr>
              <w:t></w:t>
            </w:r>
            <w:r>
              <w:rPr>
                <w:sz w:val="20"/>
                <w:szCs w:val="20"/>
              </w:rPr>
              <w:t xml:space="preserve">  positive   </w:t>
            </w:r>
            <w:r>
              <w:rPr>
                <w:b/>
              </w:rPr>
              <w:t>x</w:t>
            </w:r>
          </w:p>
          <w:p w14:paraId="494B2E2E" w14:textId="77777777" w:rsidR="00D042CD" w:rsidRDefault="00474533">
            <w:r>
              <w:rPr>
                <w:sz w:val="20"/>
                <w:szCs w:val="20"/>
              </w:rPr>
              <w:t xml:space="preserve">No major change needed  </w:t>
            </w:r>
            <w:r>
              <w:rPr>
                <w:b/>
              </w:rPr>
              <w:t xml:space="preserve">x </w:t>
            </w:r>
            <w:r>
              <w:rPr>
                <w:b/>
                <w:sz w:val="36"/>
                <w:szCs w:val="36"/>
              </w:rPr>
              <w:t xml:space="preserve">          </w:t>
            </w:r>
            <w:r>
              <w:rPr>
                <w:sz w:val="20"/>
                <w:szCs w:val="20"/>
              </w:rPr>
              <w:t xml:space="preserve">Adjust the policy  </w:t>
            </w:r>
            <w:r>
              <w:rPr>
                <w:b/>
                <w:sz w:val="36"/>
                <w:szCs w:val="36"/>
              </w:rPr>
              <w:t xml:space="preserve">□                 </w:t>
            </w:r>
            <w:r>
              <w:rPr>
                <w:sz w:val="20"/>
                <w:szCs w:val="20"/>
              </w:rPr>
              <w:t xml:space="preserve">Adverse impact but continue </w:t>
            </w:r>
            <w:r>
              <w:rPr>
                <w:b/>
                <w:sz w:val="36"/>
                <w:szCs w:val="36"/>
              </w:rPr>
              <w:t xml:space="preserve">□                 </w:t>
            </w:r>
            <w:r>
              <w:rPr>
                <w:sz w:val="20"/>
                <w:szCs w:val="20"/>
              </w:rPr>
              <w:t xml:space="preserve">Stop and remove / reconsider policy </w:t>
            </w:r>
            <w:r>
              <w:rPr>
                <w:b/>
                <w:sz w:val="36"/>
                <w:szCs w:val="36"/>
              </w:rPr>
              <w:t>□</w:t>
            </w:r>
          </w:p>
        </w:tc>
      </w:tr>
      <w:tr w:rsidR="00D042CD" w14:paraId="6A6CD6A4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73EE6F" w14:textId="77777777" w:rsidR="00D042CD" w:rsidRDefault="004745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Arrangements for future monitoring:</w:t>
            </w:r>
          </w:p>
          <w:p w14:paraId="468EE07B" w14:textId="77777777" w:rsidR="00D042CD" w:rsidRDefault="00D042CD">
            <w:pPr>
              <w:rPr>
                <w:sz w:val="20"/>
                <w:szCs w:val="20"/>
              </w:rPr>
            </w:pPr>
          </w:p>
          <w:p w14:paraId="7246A573" w14:textId="77777777" w:rsidR="00D042CD" w:rsidRDefault="00472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community safety communication plan is reviewed </w:t>
            </w:r>
            <w:r w:rsidR="00BA1227">
              <w:rPr>
                <w:sz w:val="20"/>
                <w:szCs w:val="20"/>
              </w:rPr>
              <w:t>quarterly to</w:t>
            </w:r>
            <w:r w:rsidR="00474533">
              <w:rPr>
                <w:sz w:val="20"/>
                <w:szCs w:val="20"/>
              </w:rPr>
              <w:t xml:space="preserve"> ensure </w:t>
            </w:r>
            <w:r>
              <w:rPr>
                <w:sz w:val="20"/>
                <w:szCs w:val="20"/>
              </w:rPr>
              <w:t xml:space="preserve">relevance and </w:t>
            </w:r>
            <w:r w:rsidR="00BA1227">
              <w:rPr>
                <w:sz w:val="20"/>
                <w:szCs w:val="20"/>
              </w:rPr>
              <w:t>effectiveness</w:t>
            </w:r>
            <w:r w:rsidR="00474533">
              <w:rPr>
                <w:sz w:val="20"/>
                <w:szCs w:val="20"/>
              </w:rPr>
              <w:t>.</w:t>
            </w:r>
            <w:r w:rsidR="00362D93">
              <w:rPr>
                <w:sz w:val="20"/>
                <w:szCs w:val="20"/>
              </w:rPr>
              <w:t xml:space="preserve"> This is audited by internal systems</w:t>
            </w:r>
            <w:r w:rsidR="00BA1227">
              <w:rPr>
                <w:sz w:val="20"/>
                <w:szCs w:val="20"/>
              </w:rPr>
              <w:t>.</w:t>
            </w:r>
          </w:p>
          <w:p w14:paraId="1B4613A8" w14:textId="77777777" w:rsidR="00D042CD" w:rsidRDefault="00D042CD">
            <w:pPr>
              <w:rPr>
                <w:sz w:val="20"/>
                <w:szCs w:val="20"/>
              </w:rPr>
            </w:pPr>
          </w:p>
        </w:tc>
      </w:tr>
      <w:tr w:rsidR="00D042CD" w14:paraId="616B2D0F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733DC6" w14:textId="77777777" w:rsidR="00D042CD" w:rsidRDefault="00474533">
            <w:r>
              <w:rPr>
                <w:b/>
                <w:sz w:val="20"/>
                <w:szCs w:val="20"/>
              </w:rPr>
              <w:t xml:space="preserve">Details of any data/ Research used </w:t>
            </w:r>
            <w:r>
              <w:rPr>
                <w:sz w:val="20"/>
                <w:szCs w:val="20"/>
              </w:rPr>
              <w:t>(both FDC &amp; Partners)</w:t>
            </w:r>
            <w:r>
              <w:rPr>
                <w:b/>
                <w:sz w:val="20"/>
                <w:szCs w:val="20"/>
              </w:rPr>
              <w:t>:</w:t>
            </w:r>
          </w:p>
          <w:p w14:paraId="1C15B9DC" w14:textId="77777777" w:rsidR="00D042CD" w:rsidRDefault="00D042CD">
            <w:pPr>
              <w:rPr>
                <w:b/>
                <w:sz w:val="20"/>
                <w:szCs w:val="20"/>
              </w:rPr>
            </w:pPr>
          </w:p>
          <w:p w14:paraId="0887FA2D" w14:textId="77777777" w:rsidR="00AD6D4D" w:rsidRDefault="00BA1227" w:rsidP="00AD6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Safety  Partnership consultation and feedback</w:t>
            </w:r>
          </w:p>
          <w:p w14:paraId="63954E3D" w14:textId="77777777" w:rsidR="00644518" w:rsidRDefault="00AD6D4D" w:rsidP="00AD6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FSCP  </w:t>
            </w:r>
          </w:p>
          <w:p w14:paraId="71E75558" w14:textId="77777777" w:rsidR="00AD6D4D" w:rsidRDefault="00AD6D4D" w:rsidP="00AD6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 Sex Discrimination Act 1975</w:t>
            </w:r>
          </w:p>
          <w:p w14:paraId="52C21358" w14:textId="77777777" w:rsidR="00AD6D4D" w:rsidRDefault="00AD6D4D" w:rsidP="00AD6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Equalities act 2010</w:t>
            </w:r>
          </w:p>
          <w:p w14:paraId="7A6CF2E7" w14:textId="77777777" w:rsidR="00AD6D4D" w:rsidRDefault="00AD6D4D" w:rsidP="00AD6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 Relations Act 1976</w:t>
            </w:r>
          </w:p>
          <w:p w14:paraId="40AF8340" w14:textId="77777777" w:rsidR="00AD6D4D" w:rsidRDefault="00AD6D4D" w:rsidP="00AD6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Discrimination Act 1995</w:t>
            </w:r>
            <w:r w:rsidR="00644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Plan </w:t>
            </w:r>
          </w:p>
          <w:p w14:paraId="284B077E" w14:textId="77777777" w:rsidR="00D042CD" w:rsidRDefault="00D042CD"/>
        </w:tc>
      </w:tr>
      <w:tr w:rsidR="00D042CD" w14:paraId="319988E9" w14:textId="77777777">
        <w:tc>
          <w:tcPr>
            <w:tcW w:w="15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AC92CE" w14:textId="44655632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Completed by:</w:t>
            </w:r>
            <w:r w:rsidR="00792435">
              <w:rPr>
                <w:b/>
                <w:sz w:val="20"/>
                <w:szCs w:val="20"/>
              </w:rPr>
              <w:t xml:space="preserve"> 1</w:t>
            </w:r>
            <w:r w:rsidR="006A4457">
              <w:rPr>
                <w:b/>
                <w:sz w:val="20"/>
                <w:szCs w:val="20"/>
              </w:rPr>
              <w:t>8</w:t>
            </w:r>
            <w:r w:rsidR="00792435">
              <w:rPr>
                <w:b/>
                <w:sz w:val="20"/>
                <w:szCs w:val="20"/>
              </w:rPr>
              <w:t>/01/202</w:t>
            </w:r>
            <w:r w:rsidR="006A4457">
              <w:rPr>
                <w:b/>
                <w:sz w:val="20"/>
                <w:szCs w:val="20"/>
              </w:rPr>
              <w:t>2</w:t>
            </w:r>
          </w:p>
          <w:p w14:paraId="6288DA6D" w14:textId="77777777" w:rsidR="00D042CD" w:rsidRDefault="00D042CD">
            <w:pPr>
              <w:rPr>
                <w:b/>
                <w:sz w:val="20"/>
                <w:szCs w:val="20"/>
              </w:rPr>
            </w:pPr>
          </w:p>
          <w:p w14:paraId="37306F86" w14:textId="77777777" w:rsidR="00D042CD" w:rsidRDefault="004745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</w:t>
            </w:r>
            <w:r w:rsidR="008E5932">
              <w:rPr>
                <w:b/>
                <w:sz w:val="20"/>
                <w:szCs w:val="20"/>
              </w:rPr>
              <w:t>Rosie Cooke</w:t>
            </w:r>
          </w:p>
          <w:p w14:paraId="58333F0C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Position: Community Safety </w:t>
            </w:r>
            <w:r w:rsidR="008E5932">
              <w:rPr>
                <w:b/>
                <w:sz w:val="20"/>
                <w:szCs w:val="20"/>
              </w:rPr>
              <w:t>Projects</w:t>
            </w:r>
            <w:r w:rsidR="00362D93">
              <w:rPr>
                <w:b/>
                <w:sz w:val="20"/>
                <w:szCs w:val="20"/>
              </w:rPr>
              <w:t xml:space="preserve"> officer</w:t>
            </w:r>
          </w:p>
          <w:p w14:paraId="41068142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</w:tr>
      <w:tr w:rsidR="00D042CD" w14:paraId="202DEEEE" w14:textId="77777777"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261481" w14:textId="77777777" w:rsidR="00D042CD" w:rsidRDefault="0047453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Approved by </w:t>
            </w:r>
            <w:r>
              <w:rPr>
                <w:sz w:val="20"/>
                <w:szCs w:val="20"/>
              </w:rPr>
              <w:t xml:space="preserve">(manager signature): </w:t>
            </w:r>
          </w:p>
          <w:p w14:paraId="51ED8C1A" w14:textId="78CD5052" w:rsidR="00644518" w:rsidRPr="00644518" w:rsidRDefault="007924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Alan Boughen </w:t>
            </w:r>
          </w:p>
          <w:p w14:paraId="2124A939" w14:textId="77777777" w:rsidR="00644518" w:rsidRDefault="00644518">
            <w:r w:rsidRPr="00644518">
              <w:rPr>
                <w:b/>
                <w:sz w:val="20"/>
                <w:szCs w:val="20"/>
              </w:rPr>
              <w:t>Community Safety Manager</w:t>
            </w: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7CB924" w14:textId="7BEE0F6B" w:rsidR="00D042CD" w:rsidRDefault="00474533">
            <w:r>
              <w:rPr>
                <w:b/>
                <w:sz w:val="20"/>
                <w:szCs w:val="20"/>
              </w:rPr>
              <w:t xml:space="preserve">Date published: </w:t>
            </w:r>
          </w:p>
          <w:p w14:paraId="49D74DDA" w14:textId="77777777" w:rsidR="00D042CD" w:rsidRDefault="00D042CD">
            <w:pPr>
              <w:rPr>
                <w:sz w:val="20"/>
                <w:szCs w:val="20"/>
              </w:rPr>
            </w:pPr>
          </w:p>
          <w:p w14:paraId="63D291BD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</w:tr>
      <w:tr w:rsidR="00D042CD" w14:paraId="2FF5FBE2" w14:textId="77777777">
        <w:tc>
          <w:tcPr>
            <w:tcW w:w="7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33F030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 of any Committee approved by (if applicable):</w:t>
            </w:r>
          </w:p>
          <w:p w14:paraId="6C921F1A" w14:textId="77777777" w:rsidR="00D042CD" w:rsidRDefault="00D042CD">
            <w:pPr>
              <w:rPr>
                <w:b/>
                <w:sz w:val="20"/>
                <w:szCs w:val="20"/>
              </w:rPr>
            </w:pPr>
          </w:p>
        </w:tc>
        <w:tc>
          <w:tcPr>
            <w:tcW w:w="7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C01518" w14:textId="77777777" w:rsidR="00D042CD" w:rsidRDefault="00474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endorsed by Members if applicable:</w:t>
            </w:r>
          </w:p>
        </w:tc>
      </w:tr>
    </w:tbl>
    <w:p w14:paraId="0ACCCF7E" w14:textId="77777777" w:rsidR="00D042CD" w:rsidRDefault="00D042CD">
      <w:pPr>
        <w:tabs>
          <w:tab w:val="left" w:pos="3759"/>
        </w:tabs>
      </w:pPr>
    </w:p>
    <w:sectPr w:rsidR="00D042CD">
      <w:headerReference w:type="default" r:id="rId7"/>
      <w:pgSz w:w="16838" w:h="11906" w:orient="landscape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CF066" w14:textId="77777777" w:rsidR="00474533" w:rsidRDefault="00474533">
      <w:r>
        <w:separator/>
      </w:r>
    </w:p>
  </w:endnote>
  <w:endnote w:type="continuationSeparator" w:id="0">
    <w:p w14:paraId="4359113F" w14:textId="77777777" w:rsidR="00474533" w:rsidRDefault="0047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0C5B3" w14:textId="77777777" w:rsidR="00474533" w:rsidRDefault="00474533">
      <w:r>
        <w:separator/>
      </w:r>
    </w:p>
  </w:footnote>
  <w:footnote w:type="continuationSeparator" w:id="0">
    <w:p w14:paraId="3CEEF6D7" w14:textId="77777777" w:rsidR="00474533" w:rsidRDefault="00474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2F8D" w14:textId="77777777" w:rsidR="00D042CD" w:rsidRDefault="00474533">
    <w:pPr>
      <w:pStyle w:val="Header"/>
    </w:pPr>
    <w:r>
      <w:rPr>
        <w:noProof/>
        <w:lang w:eastAsia="en-GB"/>
      </w:rPr>
      <w:drawing>
        <wp:inline distT="0" distB="0" distL="0" distR="0" wp14:anchorId="184337D1" wp14:editId="65C10ABD">
          <wp:extent cx="1790700" cy="5619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Arial"/>
      </w:rPr>
      <w:t xml:space="preserve">               </w:t>
    </w:r>
    <w:r>
      <w:rPr>
        <w:b/>
        <w:sz w:val="28"/>
        <w:szCs w:val="28"/>
      </w:rPr>
      <w:t>Assessing Equality – The Equality Act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2C8"/>
    <w:multiLevelType w:val="multilevel"/>
    <w:tmpl w:val="2B5A9F66"/>
    <w:lvl w:ilvl="0">
      <w:start w:val="1"/>
      <w:numFmt w:val="bullet"/>
      <w:pStyle w:val="Style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955F1"/>
    <w:multiLevelType w:val="hybridMultilevel"/>
    <w:tmpl w:val="EA1A8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94411"/>
    <w:multiLevelType w:val="multilevel"/>
    <w:tmpl w:val="E236CB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91D41A5"/>
    <w:multiLevelType w:val="hybridMultilevel"/>
    <w:tmpl w:val="13BC6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735655"/>
    <w:multiLevelType w:val="hybridMultilevel"/>
    <w:tmpl w:val="6694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2CD"/>
    <w:rsid w:val="000F78CB"/>
    <w:rsid w:val="001269BD"/>
    <w:rsid w:val="00207E8F"/>
    <w:rsid w:val="002209AB"/>
    <w:rsid w:val="00276400"/>
    <w:rsid w:val="002A5883"/>
    <w:rsid w:val="00362D93"/>
    <w:rsid w:val="0047219A"/>
    <w:rsid w:val="00474533"/>
    <w:rsid w:val="004A46A1"/>
    <w:rsid w:val="006216B4"/>
    <w:rsid w:val="00644518"/>
    <w:rsid w:val="006A4457"/>
    <w:rsid w:val="00792435"/>
    <w:rsid w:val="00807CA0"/>
    <w:rsid w:val="008E5932"/>
    <w:rsid w:val="00994E80"/>
    <w:rsid w:val="009B1966"/>
    <w:rsid w:val="009B1B0B"/>
    <w:rsid w:val="009C2286"/>
    <w:rsid w:val="00AD6D4D"/>
    <w:rsid w:val="00B20A72"/>
    <w:rsid w:val="00B33B99"/>
    <w:rsid w:val="00B524CA"/>
    <w:rsid w:val="00B57DEC"/>
    <w:rsid w:val="00BA1227"/>
    <w:rsid w:val="00BC133D"/>
    <w:rsid w:val="00C22072"/>
    <w:rsid w:val="00D042CD"/>
    <w:rsid w:val="00DF6A66"/>
    <w:rsid w:val="00E56813"/>
    <w:rsid w:val="00ED2699"/>
    <w:rsid w:val="00EE595C"/>
    <w:rsid w:val="00EE5C3D"/>
    <w:rsid w:val="00F07410"/>
    <w:rsid w:val="00F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FDA7"/>
  <w15:docId w15:val="{5D07BF10-2C47-4DB0-91AA-673EDB5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sz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pPr>
      <w:numPr>
        <w:numId w:val="1"/>
      </w:numPr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paragraph" w:styleId="BalloonText">
    <w:name w:val="Balloon Text"/>
    <w:basedOn w:val="Normal"/>
    <w:link w:val="BalloonTextChar"/>
    <w:uiPriority w:val="99"/>
    <w:semiHidden/>
    <w:unhideWhenUsed/>
    <w:rsid w:val="00EE5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5C"/>
    <w:rPr>
      <w:rFonts w:ascii="Tahoma" w:eastAsia="Times New Roman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362D93"/>
    <w:rPr>
      <w:rFonts w:asciiTheme="majorHAnsi" w:eastAsiaTheme="majorEastAsia" w:hAnsiTheme="majorHAnsi" w:cstheme="majorBidi"/>
      <w:b/>
      <w:bCs/>
      <w:color w:val="4F81BD" w:themeColor="accent1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E5681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9B1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B0B"/>
    <w:rPr>
      <w:rFonts w:ascii="Arial" w:eastAsia="Times New Roman" w:hAnsi="Arial" w:cs="Arial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Equality – The Equality Act 2010</vt:lpstr>
    </vt:vector>
  </TitlesOfParts>
  <Company>Fenland District Council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Assessing Equality – The Equality Act 2010</dc:title>
  <dc:creator>10259</dc:creator>
  <cp:lastModifiedBy>Rosie Cooke</cp:lastModifiedBy>
  <cp:revision>10</cp:revision>
  <cp:lastPrinted>2011-06-22T14:55:00Z</cp:lastPrinted>
  <dcterms:created xsi:type="dcterms:W3CDTF">2019-11-18T16:44:00Z</dcterms:created>
  <dcterms:modified xsi:type="dcterms:W3CDTF">2022-01-18T11:29:00Z</dcterms:modified>
  <dc:language>en-GB</dc:language>
</cp:coreProperties>
</file>